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4E8E7" w14:textId="38D27AED" w:rsidR="00F74E8C" w:rsidRPr="00F7115D" w:rsidRDefault="00FC37C8" w:rsidP="00F74E8C">
      <w:pPr>
        <w:pStyle w:val="NoSpacing"/>
        <w:rPr>
          <w:b/>
          <w:sz w:val="21"/>
          <w:szCs w:val="21"/>
        </w:rPr>
      </w:pPr>
      <w:r>
        <w:rPr>
          <w:b/>
          <w:sz w:val="21"/>
          <w:szCs w:val="21"/>
        </w:rPr>
        <w:t>History</w:t>
      </w:r>
    </w:p>
    <w:p w14:paraId="1A17B844" w14:textId="77777777" w:rsidR="00F74E8C" w:rsidRPr="00F7115D" w:rsidRDefault="00F74E8C" w:rsidP="00F74E8C">
      <w:pPr>
        <w:pStyle w:val="NoSpacing"/>
        <w:rPr>
          <w:sz w:val="21"/>
          <w:szCs w:val="21"/>
        </w:rPr>
      </w:pPr>
    </w:p>
    <w:p w14:paraId="1B04D415" w14:textId="13A1D09A" w:rsidR="00F74E8C" w:rsidRPr="00F7115D" w:rsidRDefault="00F74E8C" w:rsidP="00F74E8C">
      <w:pPr>
        <w:pStyle w:val="NoSpacing"/>
        <w:rPr>
          <w:b/>
          <w:sz w:val="21"/>
          <w:szCs w:val="21"/>
        </w:rPr>
      </w:pPr>
      <w:r>
        <w:rPr>
          <w:b/>
          <w:sz w:val="21"/>
          <w:szCs w:val="21"/>
        </w:rPr>
        <w:t xml:space="preserve">Video: </w:t>
      </w:r>
      <w:r w:rsidRPr="00F74E8C">
        <w:rPr>
          <w:b/>
          <w:sz w:val="21"/>
          <w:szCs w:val="21"/>
        </w:rPr>
        <w:t>What is History for?</w:t>
      </w:r>
    </w:p>
    <w:p w14:paraId="61CBE166" w14:textId="6F15FBE3" w:rsidR="00F74E8C" w:rsidRDefault="00F74E8C" w:rsidP="00F74E8C">
      <w:pPr>
        <w:pStyle w:val="NoSpacing"/>
        <w:numPr>
          <w:ilvl w:val="0"/>
          <w:numId w:val="29"/>
        </w:numPr>
        <w:rPr>
          <w:sz w:val="21"/>
          <w:szCs w:val="21"/>
        </w:rPr>
      </w:pPr>
      <w:r w:rsidRPr="00F74E8C">
        <w:rPr>
          <w:sz w:val="21"/>
          <w:szCs w:val="21"/>
        </w:rPr>
        <w:t>The School of Life. What is History for? Oct 31, 2014. https://youtu.be/hLE-5ElGlPM</w:t>
      </w:r>
    </w:p>
    <w:p w14:paraId="2FB916E9" w14:textId="77777777" w:rsidR="00F74E8C" w:rsidRPr="00F7115D" w:rsidRDefault="00F74E8C" w:rsidP="00F74E8C">
      <w:pPr>
        <w:pStyle w:val="NoSpacing"/>
        <w:ind w:left="360"/>
        <w:rPr>
          <w:sz w:val="21"/>
          <w:szCs w:val="21"/>
        </w:rPr>
      </w:pPr>
    </w:p>
    <w:p w14:paraId="0D32B876" w14:textId="77777777" w:rsidR="00F74E8C" w:rsidRPr="00F7115D" w:rsidRDefault="00F74E8C" w:rsidP="00F74E8C">
      <w:pPr>
        <w:pStyle w:val="NoSpacing"/>
        <w:rPr>
          <w:b/>
          <w:sz w:val="21"/>
          <w:szCs w:val="21"/>
        </w:rPr>
      </w:pPr>
      <w:r w:rsidRPr="00F7115D">
        <w:rPr>
          <w:b/>
          <w:sz w:val="21"/>
          <w:szCs w:val="21"/>
        </w:rPr>
        <w:t>Definition of History</w:t>
      </w:r>
    </w:p>
    <w:p w14:paraId="6DDB304D" w14:textId="77777777" w:rsidR="00F74E8C" w:rsidRPr="00F7115D" w:rsidRDefault="00F74E8C" w:rsidP="00F74E8C">
      <w:pPr>
        <w:pStyle w:val="NoSpacing"/>
        <w:numPr>
          <w:ilvl w:val="0"/>
          <w:numId w:val="29"/>
        </w:numPr>
        <w:rPr>
          <w:sz w:val="21"/>
          <w:szCs w:val="21"/>
        </w:rPr>
      </w:pPr>
      <w:r w:rsidRPr="00F7115D">
        <w:rPr>
          <w:sz w:val="21"/>
          <w:szCs w:val="21"/>
        </w:rPr>
        <w:t xml:space="preserve">History refers to “past events and processes,” and historiography to “the results of inquiries about history, written accounts of the past.” </w:t>
      </w:r>
      <w:proofErr w:type="spellStart"/>
      <w:r w:rsidRPr="00F7115D">
        <w:rPr>
          <w:sz w:val="21"/>
          <w:szCs w:val="21"/>
        </w:rPr>
        <w:t>Aviezer</w:t>
      </w:r>
      <w:proofErr w:type="spellEnd"/>
      <w:r w:rsidRPr="00F7115D">
        <w:rPr>
          <w:sz w:val="21"/>
          <w:szCs w:val="21"/>
        </w:rPr>
        <w:t xml:space="preserve"> Tucker, “Introduction,” in A Companion to the Philosophy of History and Historiography, ed. </w:t>
      </w:r>
      <w:proofErr w:type="spellStart"/>
      <w:r w:rsidRPr="00F7115D">
        <w:rPr>
          <w:sz w:val="21"/>
          <w:szCs w:val="21"/>
        </w:rPr>
        <w:t>Aviezer</w:t>
      </w:r>
      <w:proofErr w:type="spellEnd"/>
      <w:r w:rsidRPr="00F7115D">
        <w:rPr>
          <w:sz w:val="21"/>
          <w:szCs w:val="21"/>
        </w:rPr>
        <w:t xml:space="preserve"> Tucker. Blackwell Companions to Philosophy 41 (Oxford: Wiley-Blackwell, 2009), 2.</w:t>
      </w:r>
    </w:p>
    <w:p w14:paraId="0CD8E4F9" w14:textId="77777777" w:rsidR="00F74E8C" w:rsidRPr="00F7115D" w:rsidRDefault="00F74E8C" w:rsidP="00F74E8C">
      <w:pPr>
        <w:pStyle w:val="NoSpacing"/>
        <w:numPr>
          <w:ilvl w:val="0"/>
          <w:numId w:val="29"/>
        </w:numPr>
        <w:rPr>
          <w:sz w:val="21"/>
          <w:szCs w:val="21"/>
        </w:rPr>
      </w:pPr>
      <w:r w:rsidRPr="00F7115D">
        <w:rPr>
          <w:sz w:val="21"/>
          <w:szCs w:val="21"/>
        </w:rPr>
        <w:t xml:space="preserve">Though as </w:t>
      </w:r>
      <w:proofErr w:type="spellStart"/>
      <w:r w:rsidRPr="00F7115D">
        <w:rPr>
          <w:sz w:val="21"/>
          <w:szCs w:val="21"/>
        </w:rPr>
        <w:t>Licona</w:t>
      </w:r>
      <w:proofErr w:type="spellEnd"/>
      <w:r w:rsidRPr="00F7115D">
        <w:rPr>
          <w:sz w:val="21"/>
          <w:szCs w:val="21"/>
        </w:rPr>
        <w:t xml:space="preserve"> interacting with Webb points out, simply because something happened in the past does not necessarily mean it falls under the domain of historians, as </w:t>
      </w:r>
      <w:proofErr w:type="spellStart"/>
      <w:r w:rsidRPr="00F7115D">
        <w:rPr>
          <w:sz w:val="21"/>
          <w:szCs w:val="21"/>
        </w:rPr>
        <w:t>Licona</w:t>
      </w:r>
      <w:proofErr w:type="spellEnd"/>
      <w:r w:rsidRPr="00F7115D">
        <w:rPr>
          <w:sz w:val="21"/>
          <w:szCs w:val="21"/>
        </w:rPr>
        <w:t xml:space="preserve"> writes: “Webb rightly states that not all investigations of past events belong to the discipline of history. For example, the Ice Age that shaped the Rocky Mountains belong to the discipline of geology rather than history. We may say the same concerning the formation of galaxies, which belongs to the discipline of cosmology. Even living beings such as dinosaurs belong to the discipline of </w:t>
      </w:r>
      <w:proofErr w:type="spellStart"/>
      <w:r w:rsidRPr="00F7115D">
        <w:rPr>
          <w:sz w:val="21"/>
          <w:szCs w:val="21"/>
        </w:rPr>
        <w:t>palaeontology</w:t>
      </w:r>
      <w:proofErr w:type="spellEnd"/>
      <w:r w:rsidRPr="00F7115D">
        <w:rPr>
          <w:sz w:val="21"/>
          <w:szCs w:val="21"/>
        </w:rPr>
        <w:t xml:space="preserve"> rather than history. Webb then concludes that human agency is a necessary component in the definition of history.” Michael </w:t>
      </w:r>
      <w:proofErr w:type="spellStart"/>
      <w:r w:rsidRPr="00F7115D">
        <w:rPr>
          <w:sz w:val="21"/>
          <w:szCs w:val="21"/>
        </w:rPr>
        <w:t>Licona</w:t>
      </w:r>
      <w:proofErr w:type="spellEnd"/>
      <w:r w:rsidRPr="00F7115D">
        <w:rPr>
          <w:sz w:val="21"/>
          <w:szCs w:val="21"/>
        </w:rPr>
        <w:t>, “Historians and Miracle Claims” JSHJ 12 (2014), 109.</w:t>
      </w:r>
    </w:p>
    <w:p w14:paraId="77D4E69E" w14:textId="77777777" w:rsidR="00F74E8C" w:rsidRPr="00F7115D" w:rsidRDefault="00F74E8C" w:rsidP="00F74E8C">
      <w:pPr>
        <w:pStyle w:val="NoSpacing"/>
        <w:numPr>
          <w:ilvl w:val="0"/>
          <w:numId w:val="29"/>
        </w:numPr>
        <w:rPr>
          <w:sz w:val="21"/>
          <w:szCs w:val="21"/>
        </w:rPr>
      </w:pPr>
      <w:proofErr w:type="spellStart"/>
      <w:r w:rsidRPr="00F7115D">
        <w:rPr>
          <w:sz w:val="21"/>
          <w:szCs w:val="21"/>
        </w:rPr>
        <w:t>Licona</w:t>
      </w:r>
      <w:proofErr w:type="spellEnd"/>
      <w:r w:rsidRPr="00F7115D">
        <w:rPr>
          <w:sz w:val="21"/>
          <w:szCs w:val="21"/>
        </w:rPr>
        <w:t xml:space="preserve"> goes on to argue that if one day extra-terrestrial aliens make contact, would not such events be historical? Ibid, 112-113.</w:t>
      </w:r>
    </w:p>
    <w:p w14:paraId="3DA02426" w14:textId="77777777" w:rsidR="00F74E8C" w:rsidRPr="00F7115D" w:rsidRDefault="00F74E8C" w:rsidP="00F74E8C">
      <w:pPr>
        <w:pStyle w:val="NoSpacing"/>
        <w:rPr>
          <w:sz w:val="21"/>
          <w:szCs w:val="21"/>
        </w:rPr>
      </w:pPr>
    </w:p>
    <w:p w14:paraId="43979D3F" w14:textId="77777777" w:rsidR="00F74E8C" w:rsidRPr="00F7115D" w:rsidRDefault="00F74E8C" w:rsidP="00F74E8C">
      <w:pPr>
        <w:pStyle w:val="NoSpacing"/>
        <w:rPr>
          <w:b/>
          <w:sz w:val="21"/>
          <w:szCs w:val="21"/>
        </w:rPr>
      </w:pPr>
      <w:r w:rsidRPr="00F7115D">
        <w:rPr>
          <w:b/>
          <w:sz w:val="21"/>
          <w:szCs w:val="21"/>
        </w:rPr>
        <w:t>Historical Methodology</w:t>
      </w:r>
    </w:p>
    <w:p w14:paraId="2A7852C1" w14:textId="77777777" w:rsidR="00F74E8C" w:rsidRPr="00F7115D" w:rsidRDefault="00F74E8C" w:rsidP="00F74E8C">
      <w:pPr>
        <w:pStyle w:val="NoSpacing"/>
        <w:numPr>
          <w:ilvl w:val="0"/>
          <w:numId w:val="29"/>
        </w:numPr>
        <w:rPr>
          <w:sz w:val="21"/>
          <w:szCs w:val="21"/>
        </w:rPr>
      </w:pPr>
      <w:r w:rsidRPr="00F7115D">
        <w:rPr>
          <w:sz w:val="21"/>
          <w:szCs w:val="21"/>
        </w:rPr>
        <w:t>1) Ontological naturalistic history (only naturalistic causation is metaphysically possible)</w:t>
      </w:r>
    </w:p>
    <w:p w14:paraId="650B79EC" w14:textId="77777777" w:rsidR="00F74E8C" w:rsidRPr="00F7115D" w:rsidRDefault="00F74E8C" w:rsidP="00F74E8C">
      <w:pPr>
        <w:pStyle w:val="NoSpacing"/>
        <w:numPr>
          <w:ilvl w:val="0"/>
          <w:numId w:val="29"/>
        </w:numPr>
        <w:rPr>
          <w:sz w:val="21"/>
          <w:szCs w:val="21"/>
        </w:rPr>
      </w:pPr>
      <w:r w:rsidRPr="00F7115D">
        <w:rPr>
          <w:sz w:val="21"/>
          <w:szCs w:val="21"/>
        </w:rPr>
        <w:t xml:space="preserve">2) Critical theistic history (those who critically grant that on a </w:t>
      </w:r>
      <w:proofErr w:type="gramStart"/>
      <w:r w:rsidRPr="00F7115D">
        <w:rPr>
          <w:sz w:val="21"/>
          <w:szCs w:val="21"/>
        </w:rPr>
        <w:t>case by case</w:t>
      </w:r>
      <w:proofErr w:type="gramEnd"/>
      <w:r w:rsidRPr="00F7115D">
        <w:rPr>
          <w:sz w:val="21"/>
          <w:szCs w:val="21"/>
        </w:rPr>
        <w:t xml:space="preserve"> basis supernatural causation maybe the best explanation)</w:t>
      </w:r>
    </w:p>
    <w:p w14:paraId="04513B57" w14:textId="77777777" w:rsidR="00F74E8C" w:rsidRPr="00F7115D" w:rsidRDefault="00F74E8C" w:rsidP="00F74E8C">
      <w:pPr>
        <w:pStyle w:val="NoSpacing"/>
        <w:numPr>
          <w:ilvl w:val="0"/>
          <w:numId w:val="29"/>
        </w:numPr>
        <w:rPr>
          <w:sz w:val="21"/>
          <w:szCs w:val="21"/>
        </w:rPr>
      </w:pPr>
      <w:r w:rsidRPr="00F7115D">
        <w:rPr>
          <w:sz w:val="21"/>
          <w:szCs w:val="21"/>
        </w:rPr>
        <w:t xml:space="preserve">3) Methodological naturalistic history (for the purposes of studying history only naturalistic causes are permitted). </w:t>
      </w:r>
    </w:p>
    <w:p w14:paraId="3B5E1B99" w14:textId="77777777" w:rsidR="00F74E8C" w:rsidRPr="00F7115D" w:rsidRDefault="00F74E8C" w:rsidP="00F74E8C">
      <w:pPr>
        <w:pStyle w:val="NoSpacing"/>
        <w:rPr>
          <w:sz w:val="21"/>
          <w:szCs w:val="21"/>
        </w:rPr>
      </w:pPr>
      <w:r w:rsidRPr="00F7115D">
        <w:rPr>
          <w:sz w:val="21"/>
          <w:szCs w:val="21"/>
        </w:rPr>
        <w:t>Robert L. Webb, “The Historical Enterprise and Historical Jesus Research” in Key Events in the Life of the Historical Jesus: A Collaborative Exploration of Context and Coherence, eds. Darrell L. Bock, and Robert L. Webb (Grand Rapids, MI: Eerdmans, 2010), 42-54. For completeness one could also add the fourth position of uncritical theistic history, assuming supernatural causation.</w:t>
      </w:r>
    </w:p>
    <w:p w14:paraId="24558FC1" w14:textId="77777777" w:rsidR="00F74E8C" w:rsidRPr="00F7115D" w:rsidRDefault="00F74E8C" w:rsidP="00F74E8C">
      <w:pPr>
        <w:pStyle w:val="NoSpacing"/>
        <w:rPr>
          <w:sz w:val="21"/>
          <w:szCs w:val="21"/>
        </w:rPr>
      </w:pPr>
    </w:p>
    <w:p w14:paraId="0178AA6C" w14:textId="3CD3CFF4" w:rsidR="00F74E8C" w:rsidRPr="00F7115D" w:rsidRDefault="000C76E8" w:rsidP="00F74E8C">
      <w:pPr>
        <w:pStyle w:val="NoSpacing"/>
        <w:rPr>
          <w:sz w:val="21"/>
          <w:szCs w:val="21"/>
        </w:rPr>
      </w:pPr>
      <w:r>
        <w:rPr>
          <w:b/>
          <w:sz w:val="21"/>
          <w:szCs w:val="21"/>
        </w:rPr>
        <w:t>Miracles</w:t>
      </w:r>
      <w:r w:rsidR="00F74E8C" w:rsidRPr="00F7115D">
        <w:rPr>
          <w:b/>
          <w:sz w:val="21"/>
          <w:szCs w:val="21"/>
        </w:rPr>
        <w:t xml:space="preserve"> and </w:t>
      </w:r>
      <w:r>
        <w:rPr>
          <w:b/>
          <w:sz w:val="21"/>
          <w:szCs w:val="21"/>
        </w:rPr>
        <w:t xml:space="preserve">the </w:t>
      </w:r>
      <w:r w:rsidR="00F74E8C" w:rsidRPr="00F7115D">
        <w:rPr>
          <w:b/>
          <w:sz w:val="21"/>
          <w:szCs w:val="21"/>
        </w:rPr>
        <w:t>Historical Method</w:t>
      </w:r>
      <w:r>
        <w:rPr>
          <w:b/>
          <w:sz w:val="21"/>
          <w:szCs w:val="21"/>
        </w:rPr>
        <w:t>?</w:t>
      </w:r>
    </w:p>
    <w:p w14:paraId="0D2E9368" w14:textId="77777777" w:rsidR="00F74E8C" w:rsidRPr="00F7115D" w:rsidRDefault="00F74E8C" w:rsidP="00F74E8C">
      <w:pPr>
        <w:pStyle w:val="NoSpacing"/>
        <w:numPr>
          <w:ilvl w:val="0"/>
          <w:numId w:val="29"/>
        </w:numPr>
        <w:rPr>
          <w:sz w:val="21"/>
          <w:szCs w:val="21"/>
        </w:rPr>
      </w:pPr>
      <w:r w:rsidRPr="00F7115D">
        <w:rPr>
          <w:sz w:val="21"/>
          <w:szCs w:val="21"/>
        </w:rPr>
        <w:t>The earliest Christians believe Jesus rose bodily from the dead.</w:t>
      </w:r>
    </w:p>
    <w:p w14:paraId="4ED9A9AA" w14:textId="77777777" w:rsidR="00F74E8C" w:rsidRPr="00F7115D" w:rsidRDefault="00F74E8C" w:rsidP="00F74E8C">
      <w:pPr>
        <w:pStyle w:val="NoSpacing"/>
        <w:numPr>
          <w:ilvl w:val="0"/>
          <w:numId w:val="29"/>
        </w:numPr>
        <w:rPr>
          <w:sz w:val="21"/>
          <w:szCs w:val="21"/>
        </w:rPr>
      </w:pPr>
      <w:r w:rsidRPr="00F7115D">
        <w:rPr>
          <w:sz w:val="21"/>
          <w:szCs w:val="21"/>
        </w:rPr>
        <w:t>The earliest Christians believe Jesus was raised bodily from the dead by God.</w:t>
      </w:r>
    </w:p>
    <w:p w14:paraId="0F4EBC89" w14:textId="77777777" w:rsidR="00F74E8C" w:rsidRPr="00F7115D" w:rsidRDefault="00F74E8C" w:rsidP="00F74E8C">
      <w:pPr>
        <w:pStyle w:val="NoSpacing"/>
        <w:numPr>
          <w:ilvl w:val="0"/>
          <w:numId w:val="29"/>
        </w:numPr>
        <w:rPr>
          <w:sz w:val="21"/>
          <w:szCs w:val="21"/>
        </w:rPr>
      </w:pPr>
      <w:r w:rsidRPr="00F7115D">
        <w:rPr>
          <w:sz w:val="21"/>
          <w:szCs w:val="21"/>
        </w:rPr>
        <w:t xml:space="preserve">Jesus </w:t>
      </w:r>
      <w:proofErr w:type="gramStart"/>
      <w:r w:rsidRPr="00F7115D">
        <w:rPr>
          <w:sz w:val="21"/>
          <w:szCs w:val="21"/>
        </w:rPr>
        <w:t>actually did</w:t>
      </w:r>
      <w:proofErr w:type="gramEnd"/>
      <w:r w:rsidRPr="00F7115D">
        <w:rPr>
          <w:sz w:val="21"/>
          <w:szCs w:val="21"/>
        </w:rPr>
        <w:t xml:space="preserve"> rise bodily from the dead.</w:t>
      </w:r>
    </w:p>
    <w:p w14:paraId="5AA3806D" w14:textId="77777777" w:rsidR="00F74E8C" w:rsidRPr="00F7115D" w:rsidRDefault="00F74E8C" w:rsidP="00F74E8C">
      <w:pPr>
        <w:pStyle w:val="NoSpacing"/>
        <w:numPr>
          <w:ilvl w:val="0"/>
          <w:numId w:val="29"/>
        </w:numPr>
        <w:rPr>
          <w:sz w:val="21"/>
          <w:szCs w:val="21"/>
        </w:rPr>
      </w:pPr>
      <w:r w:rsidRPr="00F7115D">
        <w:rPr>
          <w:sz w:val="21"/>
          <w:szCs w:val="21"/>
        </w:rPr>
        <w:t xml:space="preserve">Jesus was </w:t>
      </w:r>
      <w:proofErr w:type="gramStart"/>
      <w:r w:rsidRPr="00F7115D">
        <w:rPr>
          <w:sz w:val="21"/>
          <w:szCs w:val="21"/>
        </w:rPr>
        <w:t>actually raised</w:t>
      </w:r>
      <w:proofErr w:type="gramEnd"/>
      <w:r w:rsidRPr="00F7115D">
        <w:rPr>
          <w:sz w:val="21"/>
          <w:szCs w:val="21"/>
        </w:rPr>
        <w:t xml:space="preserve"> bodily from the dead by God.</w:t>
      </w:r>
    </w:p>
    <w:p w14:paraId="4D82B954" w14:textId="77777777" w:rsidR="00F74E8C" w:rsidRPr="00F7115D" w:rsidRDefault="00F74E8C" w:rsidP="00F74E8C">
      <w:pPr>
        <w:pStyle w:val="NoSpacing"/>
        <w:rPr>
          <w:sz w:val="21"/>
          <w:szCs w:val="21"/>
        </w:rPr>
      </w:pPr>
      <w:r w:rsidRPr="00F7115D">
        <w:rPr>
          <w:sz w:val="21"/>
          <w:szCs w:val="21"/>
        </w:rPr>
        <w:t xml:space="preserve">Douglas </w:t>
      </w:r>
      <w:proofErr w:type="spellStart"/>
      <w:r w:rsidRPr="00F7115D">
        <w:rPr>
          <w:sz w:val="21"/>
          <w:szCs w:val="21"/>
        </w:rPr>
        <w:t>Geivett</w:t>
      </w:r>
      <w:proofErr w:type="spellEnd"/>
      <w:r w:rsidRPr="00F7115D">
        <w:rPr>
          <w:sz w:val="21"/>
          <w:szCs w:val="21"/>
        </w:rPr>
        <w:t xml:space="preserve">, “The Epistemology of the Resurrection Belief,” in The Resurrection of Jesus: John Dominic </w:t>
      </w:r>
      <w:proofErr w:type="spellStart"/>
      <w:r w:rsidRPr="00F7115D">
        <w:rPr>
          <w:sz w:val="21"/>
          <w:szCs w:val="21"/>
        </w:rPr>
        <w:t>Crossan</w:t>
      </w:r>
      <w:proofErr w:type="spellEnd"/>
      <w:r w:rsidRPr="00F7115D">
        <w:rPr>
          <w:sz w:val="21"/>
          <w:szCs w:val="21"/>
        </w:rPr>
        <w:t xml:space="preserve"> and N.T. Wright in Dialogue, ed. Robert B. Stewart (Minneapolis, Minnesota: Augsburg Fortress, 2006), 95. Italics in original.</w:t>
      </w:r>
    </w:p>
    <w:p w14:paraId="2B0C9C4A" w14:textId="77777777" w:rsidR="00F74E8C" w:rsidRPr="00F7115D" w:rsidRDefault="00F74E8C" w:rsidP="00F74E8C">
      <w:pPr>
        <w:pStyle w:val="NoSpacing"/>
        <w:rPr>
          <w:sz w:val="21"/>
          <w:szCs w:val="21"/>
        </w:rPr>
      </w:pPr>
    </w:p>
    <w:p w14:paraId="1DD49562" w14:textId="47442825" w:rsidR="00F74E8C" w:rsidRPr="00F7115D" w:rsidRDefault="000C76E8" w:rsidP="00F74E8C">
      <w:pPr>
        <w:pStyle w:val="NoSpacing"/>
        <w:rPr>
          <w:b/>
          <w:sz w:val="21"/>
          <w:szCs w:val="21"/>
        </w:rPr>
      </w:pPr>
      <w:r>
        <w:rPr>
          <w:b/>
          <w:sz w:val="21"/>
          <w:szCs w:val="21"/>
        </w:rPr>
        <w:t>Agreement?</w:t>
      </w:r>
    </w:p>
    <w:p w14:paraId="7F73838D" w14:textId="77777777" w:rsidR="00F74E8C" w:rsidRPr="00F7115D" w:rsidRDefault="00F74E8C" w:rsidP="00F74E8C">
      <w:pPr>
        <w:pStyle w:val="NoSpacing"/>
        <w:numPr>
          <w:ilvl w:val="0"/>
          <w:numId w:val="29"/>
        </w:numPr>
        <w:rPr>
          <w:sz w:val="21"/>
          <w:szCs w:val="21"/>
        </w:rPr>
      </w:pPr>
      <w:r w:rsidRPr="00F7115D">
        <w:rPr>
          <w:sz w:val="21"/>
          <w:szCs w:val="21"/>
        </w:rPr>
        <w:t xml:space="preserve">Along these lines </w:t>
      </w:r>
      <w:proofErr w:type="spellStart"/>
      <w:r w:rsidRPr="00F7115D">
        <w:rPr>
          <w:sz w:val="21"/>
          <w:szCs w:val="21"/>
        </w:rPr>
        <w:t>Willitts</w:t>
      </w:r>
      <w:proofErr w:type="spellEnd"/>
      <w:r w:rsidRPr="00F7115D">
        <w:rPr>
          <w:sz w:val="21"/>
          <w:szCs w:val="21"/>
        </w:rPr>
        <w:t xml:space="preserve"> writes with respect to Meier’s papal conclave: “Yet, rather than being forced to create a document that states the least common denominator on Jesus, the participants would be forced to listen to each other and learn from each other in the context of community; rather than check their convictions at the door and pursue consensus, they would participate in full awareness of themselves and the others and pursue understanding; rather than debate in order to win, they would discuss in order to understand, acknowledging that the truth about Jesus.” Joel </w:t>
      </w:r>
      <w:proofErr w:type="spellStart"/>
      <w:r w:rsidRPr="00F7115D">
        <w:rPr>
          <w:sz w:val="21"/>
          <w:szCs w:val="21"/>
        </w:rPr>
        <w:t>Willitts</w:t>
      </w:r>
      <w:proofErr w:type="spellEnd"/>
      <w:r w:rsidRPr="00F7115D">
        <w:rPr>
          <w:sz w:val="21"/>
          <w:szCs w:val="21"/>
        </w:rPr>
        <w:t xml:space="preserve">, “Presuppositions and Procedures in the Study of the ‘Historical Jesus’: </w:t>
      </w:r>
      <w:proofErr w:type="gramStart"/>
      <w:r w:rsidRPr="00F7115D">
        <w:rPr>
          <w:sz w:val="21"/>
          <w:szCs w:val="21"/>
        </w:rPr>
        <w:t>Or,</w:t>
      </w:r>
      <w:proofErr w:type="gramEnd"/>
      <w:r w:rsidRPr="00F7115D">
        <w:rPr>
          <w:sz w:val="21"/>
          <w:szCs w:val="21"/>
        </w:rPr>
        <w:t xml:space="preserve"> Why I Decided Not to be a ‘Historical Jesus’ Scholar,” JSHJ 3 (2005): 102.</w:t>
      </w:r>
    </w:p>
    <w:p w14:paraId="5C32D76C" w14:textId="77777777" w:rsidR="00894A25" w:rsidRDefault="00894A25" w:rsidP="00894A25">
      <w:pPr>
        <w:pStyle w:val="NoSpacing"/>
        <w:rPr>
          <w:sz w:val="21"/>
          <w:szCs w:val="21"/>
        </w:rPr>
      </w:pPr>
    </w:p>
    <w:p w14:paraId="0D8AA5D9" w14:textId="257F23B3" w:rsidR="00F74E8C" w:rsidRPr="0017195E" w:rsidRDefault="00894A25" w:rsidP="00894A25">
      <w:pPr>
        <w:pStyle w:val="NoSpacing"/>
        <w:rPr>
          <w:b/>
          <w:bCs/>
          <w:sz w:val="21"/>
          <w:szCs w:val="21"/>
        </w:rPr>
      </w:pPr>
      <w:r w:rsidRPr="0017195E">
        <w:rPr>
          <w:b/>
          <w:bCs/>
          <w:sz w:val="21"/>
          <w:szCs w:val="21"/>
        </w:rPr>
        <w:t>Criteria to Evaluate a Theory</w:t>
      </w:r>
    </w:p>
    <w:p w14:paraId="3047F680" w14:textId="77777777" w:rsidR="00894A25" w:rsidRPr="00894A25" w:rsidRDefault="00894A25" w:rsidP="0017195E">
      <w:pPr>
        <w:pStyle w:val="NoSpacing"/>
        <w:numPr>
          <w:ilvl w:val="0"/>
          <w:numId w:val="36"/>
        </w:numPr>
        <w:rPr>
          <w:sz w:val="21"/>
          <w:szCs w:val="21"/>
        </w:rPr>
      </w:pPr>
      <w:r w:rsidRPr="00894A25">
        <w:rPr>
          <w:sz w:val="21"/>
          <w:szCs w:val="21"/>
        </w:rPr>
        <w:t>Inference to the best explanation</w:t>
      </w:r>
    </w:p>
    <w:p w14:paraId="53C8472B" w14:textId="77777777" w:rsidR="00894A25" w:rsidRPr="00894A25" w:rsidRDefault="00894A25" w:rsidP="0017195E">
      <w:pPr>
        <w:pStyle w:val="NoSpacing"/>
        <w:numPr>
          <w:ilvl w:val="0"/>
          <w:numId w:val="36"/>
        </w:numPr>
        <w:rPr>
          <w:sz w:val="21"/>
          <w:szCs w:val="21"/>
        </w:rPr>
      </w:pPr>
      <w:r w:rsidRPr="00894A25">
        <w:rPr>
          <w:sz w:val="21"/>
          <w:szCs w:val="21"/>
        </w:rPr>
        <w:t>Explanatory scope</w:t>
      </w:r>
    </w:p>
    <w:p w14:paraId="455F1F14" w14:textId="77777777" w:rsidR="00894A25" w:rsidRPr="00894A25" w:rsidRDefault="00894A25" w:rsidP="0017195E">
      <w:pPr>
        <w:pStyle w:val="NoSpacing"/>
        <w:numPr>
          <w:ilvl w:val="0"/>
          <w:numId w:val="36"/>
        </w:numPr>
        <w:rPr>
          <w:sz w:val="21"/>
          <w:szCs w:val="21"/>
        </w:rPr>
      </w:pPr>
      <w:r w:rsidRPr="00894A25">
        <w:rPr>
          <w:sz w:val="21"/>
          <w:szCs w:val="21"/>
        </w:rPr>
        <w:t>Explanatory power</w:t>
      </w:r>
    </w:p>
    <w:p w14:paraId="6D380FAA" w14:textId="77777777" w:rsidR="00894A25" w:rsidRPr="00894A25" w:rsidRDefault="00894A25" w:rsidP="0017195E">
      <w:pPr>
        <w:pStyle w:val="NoSpacing"/>
        <w:numPr>
          <w:ilvl w:val="0"/>
          <w:numId w:val="36"/>
        </w:numPr>
        <w:rPr>
          <w:sz w:val="21"/>
          <w:szCs w:val="21"/>
        </w:rPr>
      </w:pPr>
      <w:r w:rsidRPr="00894A25">
        <w:rPr>
          <w:sz w:val="21"/>
          <w:szCs w:val="21"/>
        </w:rPr>
        <w:t>Plausibility</w:t>
      </w:r>
    </w:p>
    <w:p w14:paraId="1ABDDEF3" w14:textId="77777777" w:rsidR="00894A25" w:rsidRPr="00894A25" w:rsidRDefault="00894A25" w:rsidP="0017195E">
      <w:pPr>
        <w:pStyle w:val="NoSpacing"/>
        <w:numPr>
          <w:ilvl w:val="0"/>
          <w:numId w:val="36"/>
        </w:numPr>
        <w:rPr>
          <w:sz w:val="21"/>
          <w:szCs w:val="21"/>
        </w:rPr>
      </w:pPr>
      <w:r w:rsidRPr="00894A25">
        <w:rPr>
          <w:sz w:val="21"/>
          <w:szCs w:val="21"/>
        </w:rPr>
        <w:lastRenderedPageBreak/>
        <w:t>Less ad hoc</w:t>
      </w:r>
    </w:p>
    <w:p w14:paraId="19895F39" w14:textId="011EE33A" w:rsidR="00894A25" w:rsidRDefault="00894A25" w:rsidP="0017195E">
      <w:pPr>
        <w:pStyle w:val="NoSpacing"/>
        <w:ind w:left="720"/>
        <w:rPr>
          <w:sz w:val="21"/>
          <w:szCs w:val="21"/>
        </w:rPr>
      </w:pPr>
      <w:r w:rsidRPr="00894A25">
        <w:rPr>
          <w:sz w:val="21"/>
          <w:szCs w:val="21"/>
        </w:rPr>
        <w:t>(also known as abduction, see: SEP)</w:t>
      </w:r>
    </w:p>
    <w:p w14:paraId="201B2F44" w14:textId="77777777" w:rsidR="00453469" w:rsidRPr="003053C4" w:rsidRDefault="00453469" w:rsidP="00F10F4C">
      <w:pPr>
        <w:ind w:firstLine="0"/>
        <w:rPr>
          <w:rFonts w:asciiTheme="minorHAnsi" w:hAnsiTheme="minorHAnsi"/>
          <w:b/>
          <w:bCs/>
          <w:sz w:val="20"/>
          <w:szCs w:val="20"/>
        </w:rPr>
      </w:pPr>
      <w:r w:rsidRPr="003053C4">
        <w:rPr>
          <w:rFonts w:asciiTheme="minorHAnsi" w:hAnsiTheme="minorHAnsi"/>
          <w:b/>
          <w:bCs/>
          <w:sz w:val="20"/>
          <w:szCs w:val="20"/>
        </w:rPr>
        <w:t>Criteria of Authenticity</w:t>
      </w:r>
    </w:p>
    <w:p w14:paraId="4DF0F920" w14:textId="77777777" w:rsidR="00453469" w:rsidRPr="00F10F4C" w:rsidRDefault="00453469" w:rsidP="00F10F4C">
      <w:pPr>
        <w:pStyle w:val="NoSpacing"/>
        <w:numPr>
          <w:ilvl w:val="0"/>
          <w:numId w:val="29"/>
        </w:numPr>
        <w:rPr>
          <w:sz w:val="21"/>
          <w:szCs w:val="21"/>
        </w:rPr>
      </w:pPr>
      <w:r w:rsidRPr="00F10F4C">
        <w:rPr>
          <w:sz w:val="21"/>
          <w:szCs w:val="21"/>
        </w:rPr>
        <w:t xml:space="preserve">See: Bock, Darrell L. Studying the Historical Jesus: </w:t>
      </w:r>
      <w:proofErr w:type="gramStart"/>
      <w:r w:rsidRPr="00F10F4C">
        <w:rPr>
          <w:sz w:val="21"/>
          <w:szCs w:val="21"/>
        </w:rPr>
        <w:t>a</w:t>
      </w:r>
      <w:proofErr w:type="gramEnd"/>
      <w:r w:rsidRPr="00F10F4C">
        <w:rPr>
          <w:sz w:val="21"/>
          <w:szCs w:val="21"/>
        </w:rPr>
        <w:t xml:space="preserve"> Guide to Sources and Methods. Grand Rapids, MI: Baker Academic, 2002. 220 pages.</w:t>
      </w:r>
    </w:p>
    <w:p w14:paraId="30922E06" w14:textId="77777777" w:rsidR="00453469" w:rsidRPr="003053C4" w:rsidRDefault="00453469" w:rsidP="00F10F4C">
      <w:pPr>
        <w:pStyle w:val="NoSpacing"/>
        <w:numPr>
          <w:ilvl w:val="0"/>
          <w:numId w:val="29"/>
        </w:numPr>
        <w:rPr>
          <w:bCs/>
          <w:sz w:val="20"/>
          <w:szCs w:val="20"/>
        </w:rPr>
      </w:pPr>
      <w:r w:rsidRPr="00F10F4C">
        <w:rPr>
          <w:sz w:val="21"/>
          <w:szCs w:val="21"/>
        </w:rPr>
        <w:t xml:space="preserve">Note there currently is debate about whether the criteria </w:t>
      </w:r>
      <w:proofErr w:type="gramStart"/>
      <w:r w:rsidRPr="00F10F4C">
        <w:rPr>
          <w:sz w:val="21"/>
          <w:szCs w:val="21"/>
        </w:rPr>
        <w:t>is</w:t>
      </w:r>
      <w:proofErr w:type="gramEnd"/>
      <w:r w:rsidRPr="00F10F4C">
        <w:rPr>
          <w:sz w:val="21"/>
          <w:szCs w:val="21"/>
        </w:rPr>
        <w:t xml:space="preserve"> a good way to proceed (as has been the case for about 200 years): Chris Keith, and Anthony Le Donne (eds). Jesus, Criteria, and the Demise of Authenticity (London: T&amp;T Clark, 2012). The suggested way forward is a memory approach, </w:t>
      </w:r>
      <w:proofErr w:type="gramStart"/>
      <w:r w:rsidRPr="00F10F4C">
        <w:rPr>
          <w:sz w:val="21"/>
          <w:szCs w:val="21"/>
        </w:rPr>
        <w:t>see:</w:t>
      </w:r>
      <w:proofErr w:type="gramEnd"/>
      <w:r w:rsidRPr="00F10F4C">
        <w:rPr>
          <w:sz w:val="21"/>
          <w:szCs w:val="21"/>
        </w:rPr>
        <w:t xml:space="preserve"> Robert K. McIver, Memory, Jesus, and the Synoptic Gospels. SBLRBS 59 (Atlanta, GA: Society of Biblical</w:t>
      </w:r>
      <w:r w:rsidRPr="003053C4">
        <w:rPr>
          <w:bCs/>
          <w:sz w:val="20"/>
          <w:szCs w:val="20"/>
        </w:rPr>
        <w:t xml:space="preserve"> Literature, 2011).</w:t>
      </w:r>
    </w:p>
    <w:p w14:paraId="72FC5725" w14:textId="77777777" w:rsidR="00453469" w:rsidRPr="003053C4" w:rsidRDefault="00453469" w:rsidP="00453469">
      <w:pPr>
        <w:pStyle w:val="ListParagraph"/>
        <w:numPr>
          <w:ilvl w:val="0"/>
          <w:numId w:val="34"/>
        </w:numPr>
        <w:ind w:left="284" w:hanging="142"/>
        <w:rPr>
          <w:rFonts w:asciiTheme="minorHAnsi" w:hAnsiTheme="minorHAnsi"/>
          <w:bCs/>
          <w:sz w:val="20"/>
          <w:szCs w:val="20"/>
        </w:rPr>
      </w:pPr>
      <w:r w:rsidRPr="003053C4">
        <w:rPr>
          <w:rFonts w:asciiTheme="minorHAnsi" w:hAnsiTheme="minorHAnsi"/>
          <w:bCs/>
          <w:sz w:val="20"/>
          <w:szCs w:val="20"/>
        </w:rPr>
        <w:t>Unintentional signs of history</w:t>
      </w:r>
    </w:p>
    <w:p w14:paraId="55A824C5" w14:textId="77777777" w:rsidR="00453469" w:rsidRPr="003053C4" w:rsidRDefault="00453469" w:rsidP="00453469">
      <w:pPr>
        <w:pStyle w:val="ListParagraph"/>
        <w:numPr>
          <w:ilvl w:val="0"/>
          <w:numId w:val="34"/>
        </w:numPr>
        <w:ind w:left="284" w:hanging="142"/>
        <w:rPr>
          <w:rFonts w:asciiTheme="minorHAnsi" w:hAnsiTheme="minorHAnsi"/>
          <w:bCs/>
          <w:sz w:val="20"/>
          <w:szCs w:val="20"/>
        </w:rPr>
      </w:pPr>
      <w:r w:rsidRPr="003053C4">
        <w:rPr>
          <w:rFonts w:asciiTheme="minorHAnsi" w:hAnsiTheme="minorHAnsi"/>
          <w:bCs/>
          <w:sz w:val="20"/>
          <w:szCs w:val="20"/>
        </w:rPr>
        <w:t>Aramaic linguistic features</w:t>
      </w:r>
    </w:p>
    <w:p w14:paraId="2E977CFF" w14:textId="77777777" w:rsidR="00453469" w:rsidRPr="003053C4" w:rsidRDefault="00453469" w:rsidP="00453469">
      <w:pPr>
        <w:pStyle w:val="ListParagraph"/>
        <w:numPr>
          <w:ilvl w:val="0"/>
          <w:numId w:val="34"/>
        </w:numPr>
        <w:ind w:left="284" w:hanging="142"/>
        <w:rPr>
          <w:rFonts w:asciiTheme="minorHAnsi" w:hAnsiTheme="minorHAnsi"/>
          <w:bCs/>
          <w:sz w:val="20"/>
          <w:szCs w:val="20"/>
        </w:rPr>
      </w:pPr>
      <w:r w:rsidRPr="003053C4">
        <w:rPr>
          <w:rFonts w:asciiTheme="minorHAnsi" w:hAnsiTheme="minorHAnsi"/>
          <w:bCs/>
          <w:sz w:val="20"/>
          <w:szCs w:val="20"/>
        </w:rPr>
        <w:t>Criterion of the impact of an event</w:t>
      </w:r>
    </w:p>
    <w:p w14:paraId="00BEE38A" w14:textId="42BCCEC4" w:rsidR="00453469" w:rsidRPr="00554E5A" w:rsidRDefault="00453469" w:rsidP="00554E5A">
      <w:pPr>
        <w:pStyle w:val="ListParagraph"/>
        <w:numPr>
          <w:ilvl w:val="0"/>
          <w:numId w:val="34"/>
        </w:numPr>
        <w:ind w:left="284" w:hanging="142"/>
        <w:rPr>
          <w:rFonts w:asciiTheme="minorHAnsi" w:hAnsiTheme="minorHAnsi"/>
          <w:bCs/>
          <w:sz w:val="20"/>
          <w:szCs w:val="20"/>
        </w:rPr>
      </w:pPr>
      <w:r w:rsidRPr="003053C4">
        <w:rPr>
          <w:rFonts w:asciiTheme="minorHAnsi" w:hAnsiTheme="minorHAnsi"/>
          <w:bCs/>
          <w:sz w:val="20"/>
          <w:szCs w:val="20"/>
        </w:rPr>
        <w:t xml:space="preserve">Coherence with existing data </w:t>
      </w:r>
    </w:p>
    <w:p w14:paraId="362BD696" w14:textId="77777777" w:rsidR="00453469" w:rsidRPr="003053C4" w:rsidRDefault="00453469" w:rsidP="00554E5A">
      <w:pPr>
        <w:ind w:firstLine="0"/>
        <w:rPr>
          <w:rFonts w:asciiTheme="minorHAnsi" w:hAnsiTheme="minorHAnsi"/>
          <w:b/>
          <w:bCs/>
          <w:sz w:val="20"/>
          <w:szCs w:val="20"/>
        </w:rPr>
      </w:pPr>
      <w:r w:rsidRPr="003053C4">
        <w:rPr>
          <w:rFonts w:asciiTheme="minorHAnsi" w:hAnsiTheme="minorHAnsi"/>
          <w:b/>
          <w:bCs/>
          <w:sz w:val="20"/>
          <w:szCs w:val="20"/>
        </w:rPr>
        <w:t>Multiple Independent Attestation</w:t>
      </w:r>
    </w:p>
    <w:p w14:paraId="4AD40DD6" w14:textId="77777777" w:rsidR="00453469" w:rsidRPr="003053C4" w:rsidRDefault="00453469" w:rsidP="00453469">
      <w:pPr>
        <w:pStyle w:val="ListParagraph"/>
        <w:numPr>
          <w:ilvl w:val="0"/>
          <w:numId w:val="34"/>
        </w:numPr>
        <w:ind w:left="284" w:hanging="142"/>
        <w:rPr>
          <w:rFonts w:asciiTheme="minorHAnsi" w:hAnsiTheme="minorHAnsi"/>
          <w:bCs/>
          <w:sz w:val="20"/>
          <w:szCs w:val="20"/>
        </w:rPr>
      </w:pPr>
      <w:r w:rsidRPr="003053C4">
        <w:rPr>
          <w:rFonts w:asciiTheme="minorHAnsi" w:hAnsiTheme="minorHAnsi"/>
          <w:bCs/>
          <w:sz w:val="20"/>
          <w:szCs w:val="20"/>
        </w:rPr>
        <w:t xml:space="preserve">Having more than one source lends credibility to the account. And not two copies of the same story but two separate accounts that cohere. For </w:t>
      </w:r>
      <w:proofErr w:type="gramStart"/>
      <w:r w:rsidRPr="003053C4">
        <w:rPr>
          <w:rFonts w:asciiTheme="minorHAnsi" w:hAnsiTheme="minorHAnsi"/>
          <w:bCs/>
          <w:sz w:val="20"/>
          <w:szCs w:val="20"/>
        </w:rPr>
        <w:t>instance</w:t>
      </w:r>
      <w:proofErr w:type="gramEnd"/>
      <w:r w:rsidRPr="003053C4">
        <w:rPr>
          <w:rFonts w:asciiTheme="minorHAnsi" w:hAnsiTheme="minorHAnsi"/>
          <w:bCs/>
          <w:sz w:val="20"/>
          <w:szCs w:val="20"/>
        </w:rPr>
        <w:t xml:space="preserve"> we have multiple accounts that Jesus performed miracles. </w:t>
      </w:r>
    </w:p>
    <w:p w14:paraId="4423ABC6" w14:textId="77777777" w:rsidR="00453469" w:rsidRPr="003053C4" w:rsidRDefault="00453469" w:rsidP="00453469">
      <w:pPr>
        <w:pStyle w:val="ListParagraph"/>
        <w:ind w:left="284"/>
        <w:rPr>
          <w:rFonts w:asciiTheme="minorHAnsi" w:hAnsiTheme="minorHAnsi"/>
          <w:bCs/>
          <w:sz w:val="20"/>
          <w:szCs w:val="20"/>
        </w:rPr>
      </w:pPr>
    </w:p>
    <w:p w14:paraId="2781AD63" w14:textId="77777777" w:rsidR="00453469" w:rsidRPr="003053C4" w:rsidRDefault="00453469" w:rsidP="00554E5A">
      <w:pPr>
        <w:ind w:firstLine="0"/>
        <w:rPr>
          <w:rFonts w:asciiTheme="minorHAnsi" w:hAnsiTheme="minorHAnsi"/>
          <w:b/>
          <w:bCs/>
          <w:sz w:val="20"/>
          <w:szCs w:val="20"/>
        </w:rPr>
      </w:pPr>
      <w:r w:rsidRPr="003053C4">
        <w:rPr>
          <w:rFonts w:asciiTheme="minorHAnsi" w:hAnsiTheme="minorHAnsi"/>
          <w:b/>
          <w:bCs/>
          <w:sz w:val="20"/>
          <w:szCs w:val="20"/>
        </w:rPr>
        <w:t xml:space="preserve">Criterion of Embarrassment </w:t>
      </w:r>
    </w:p>
    <w:p w14:paraId="34E57C5E" w14:textId="77777777" w:rsidR="00453469" w:rsidRPr="003053C4" w:rsidRDefault="00453469" w:rsidP="00453469">
      <w:pPr>
        <w:pStyle w:val="ListParagraph"/>
        <w:numPr>
          <w:ilvl w:val="0"/>
          <w:numId w:val="34"/>
        </w:numPr>
        <w:ind w:left="284" w:hanging="142"/>
        <w:rPr>
          <w:rFonts w:asciiTheme="minorHAnsi" w:hAnsiTheme="minorHAnsi"/>
          <w:bCs/>
          <w:sz w:val="20"/>
          <w:szCs w:val="20"/>
        </w:rPr>
      </w:pPr>
      <w:r w:rsidRPr="003053C4">
        <w:rPr>
          <w:rFonts w:asciiTheme="minorHAnsi" w:hAnsiTheme="minorHAnsi"/>
          <w:bCs/>
          <w:sz w:val="20"/>
          <w:szCs w:val="20"/>
        </w:rPr>
        <w:t xml:space="preserve">Embarrassing details for the disciples are unlikely to have been created by the church. For </w:t>
      </w:r>
      <w:proofErr w:type="gramStart"/>
      <w:r w:rsidRPr="003053C4">
        <w:rPr>
          <w:rFonts w:asciiTheme="minorHAnsi" w:hAnsiTheme="minorHAnsi"/>
          <w:bCs/>
          <w:sz w:val="20"/>
          <w:szCs w:val="20"/>
        </w:rPr>
        <w:t>instance</w:t>
      </w:r>
      <w:proofErr w:type="gramEnd"/>
      <w:r w:rsidRPr="003053C4">
        <w:rPr>
          <w:rFonts w:asciiTheme="minorHAnsi" w:hAnsiTheme="minorHAnsi"/>
          <w:bCs/>
          <w:sz w:val="20"/>
          <w:szCs w:val="20"/>
        </w:rPr>
        <w:t xml:space="preserve"> why would the early church make up the story that one of their key leaders Peter, denied Jesus.</w:t>
      </w:r>
    </w:p>
    <w:p w14:paraId="62E0EDF9" w14:textId="77777777" w:rsidR="00453469" w:rsidRPr="003053C4" w:rsidRDefault="00453469" w:rsidP="00453469">
      <w:pPr>
        <w:pStyle w:val="ListParagraph"/>
        <w:ind w:left="284"/>
        <w:rPr>
          <w:rFonts w:asciiTheme="minorHAnsi" w:hAnsiTheme="minorHAnsi"/>
          <w:bCs/>
          <w:sz w:val="20"/>
          <w:szCs w:val="20"/>
        </w:rPr>
      </w:pPr>
    </w:p>
    <w:p w14:paraId="6A1662C4" w14:textId="77777777" w:rsidR="00453469" w:rsidRPr="003053C4" w:rsidRDefault="00453469" w:rsidP="00554E5A">
      <w:pPr>
        <w:ind w:firstLine="0"/>
        <w:rPr>
          <w:rFonts w:asciiTheme="minorHAnsi" w:hAnsiTheme="minorHAnsi"/>
          <w:b/>
          <w:bCs/>
          <w:sz w:val="20"/>
          <w:szCs w:val="20"/>
        </w:rPr>
      </w:pPr>
      <w:r w:rsidRPr="003053C4">
        <w:rPr>
          <w:rFonts w:asciiTheme="minorHAnsi" w:hAnsiTheme="minorHAnsi"/>
          <w:b/>
          <w:bCs/>
          <w:sz w:val="20"/>
          <w:szCs w:val="20"/>
        </w:rPr>
        <w:t>Double Similarity and Dissimilarity</w:t>
      </w:r>
    </w:p>
    <w:p w14:paraId="77D7D5F6" w14:textId="77777777" w:rsidR="00453469" w:rsidRPr="003053C4" w:rsidRDefault="00453469" w:rsidP="00453469">
      <w:pPr>
        <w:pStyle w:val="ListParagraph"/>
        <w:numPr>
          <w:ilvl w:val="0"/>
          <w:numId w:val="34"/>
        </w:numPr>
        <w:ind w:left="284" w:hanging="142"/>
        <w:rPr>
          <w:rFonts w:asciiTheme="minorHAnsi" w:hAnsiTheme="minorHAnsi"/>
          <w:bCs/>
          <w:sz w:val="20"/>
          <w:szCs w:val="20"/>
        </w:rPr>
      </w:pPr>
      <w:proofErr w:type="gramStart"/>
      <w:r w:rsidRPr="003053C4">
        <w:rPr>
          <w:rFonts w:asciiTheme="minorHAnsi" w:hAnsiTheme="minorHAnsi"/>
          <w:bCs/>
          <w:sz w:val="20"/>
          <w:szCs w:val="20"/>
        </w:rPr>
        <w:t>Similar to</w:t>
      </w:r>
      <w:proofErr w:type="gramEnd"/>
      <w:r w:rsidRPr="003053C4">
        <w:rPr>
          <w:rFonts w:asciiTheme="minorHAnsi" w:hAnsiTheme="minorHAnsi"/>
          <w:bCs/>
          <w:sz w:val="20"/>
          <w:szCs w:val="20"/>
        </w:rPr>
        <w:t xml:space="preserve"> Judaism thereby suggesting Jewish roots and yet distinct, suggesting growth; and similar to the early church, showing it appropriately fits and yet distinct, suggesting it was not merely created by them. </w:t>
      </w:r>
    </w:p>
    <w:p w14:paraId="59800A62" w14:textId="2E3839A0" w:rsidR="00453469" w:rsidRDefault="00453469" w:rsidP="00F74E8C">
      <w:pPr>
        <w:pStyle w:val="NoSpacing"/>
        <w:ind w:left="720"/>
        <w:rPr>
          <w:sz w:val="21"/>
          <w:szCs w:val="21"/>
        </w:rPr>
      </w:pPr>
    </w:p>
    <w:p w14:paraId="3E078152" w14:textId="66F8D329" w:rsidR="00453469" w:rsidRDefault="00BB1F39" w:rsidP="00BB1F39">
      <w:pPr>
        <w:pStyle w:val="NoSpacing"/>
        <w:rPr>
          <w:sz w:val="21"/>
          <w:szCs w:val="21"/>
        </w:rPr>
      </w:pPr>
      <w:r>
        <w:rPr>
          <w:b/>
          <w:sz w:val="21"/>
          <w:szCs w:val="21"/>
        </w:rPr>
        <w:t>H</w:t>
      </w:r>
      <w:r w:rsidRPr="00BB1F39">
        <w:rPr>
          <w:b/>
          <w:sz w:val="21"/>
          <w:szCs w:val="21"/>
        </w:rPr>
        <w:t>ermeneutics</w:t>
      </w:r>
    </w:p>
    <w:p w14:paraId="4F84AA04" w14:textId="77777777" w:rsidR="00BB1F39" w:rsidRPr="00BB1F39" w:rsidRDefault="00BB1F39" w:rsidP="005F35A0">
      <w:pPr>
        <w:pStyle w:val="NoSpacing"/>
        <w:numPr>
          <w:ilvl w:val="0"/>
          <w:numId w:val="29"/>
        </w:numPr>
        <w:rPr>
          <w:sz w:val="21"/>
          <w:szCs w:val="21"/>
        </w:rPr>
      </w:pPr>
      <w:r w:rsidRPr="00BB1F39">
        <w:rPr>
          <w:sz w:val="21"/>
          <w:szCs w:val="21"/>
        </w:rPr>
        <w:t>By hermeneutics, it is meant “the science or art of interpretation, formulating general rules about the meaning of texts” (Barton, “Glossary,” xiii–xiv).</w:t>
      </w:r>
    </w:p>
    <w:p w14:paraId="089E8D0C" w14:textId="77777777" w:rsidR="00BB1F39" w:rsidRPr="005F35A0" w:rsidRDefault="00BB1F39" w:rsidP="005F35A0">
      <w:pPr>
        <w:pStyle w:val="NoSpacing"/>
        <w:numPr>
          <w:ilvl w:val="0"/>
          <w:numId w:val="29"/>
        </w:numPr>
        <w:rPr>
          <w:sz w:val="21"/>
          <w:szCs w:val="21"/>
        </w:rPr>
      </w:pPr>
      <w:r w:rsidRPr="005F35A0">
        <w:rPr>
          <w:sz w:val="21"/>
          <w:szCs w:val="21"/>
        </w:rPr>
        <w:t xml:space="preserve">grammatical-historical exegesis. The approach seeks to follow the rules of grammar within the historical context of the text in question </w:t>
      </w:r>
      <w:proofErr w:type="gramStart"/>
      <w:r w:rsidRPr="005F35A0">
        <w:rPr>
          <w:sz w:val="21"/>
          <w:szCs w:val="21"/>
        </w:rPr>
        <w:t>in order to</w:t>
      </w:r>
      <w:proofErr w:type="gramEnd"/>
      <w:r w:rsidRPr="005F35A0">
        <w:rPr>
          <w:sz w:val="21"/>
          <w:szCs w:val="21"/>
        </w:rPr>
        <w:t xml:space="preserve"> interpret meaning out from the text (rather than eisegesis, which is to read one’s own ideas into the text).</w:t>
      </w:r>
    </w:p>
    <w:p w14:paraId="196857DE" w14:textId="6232E110" w:rsidR="00BB1F39" w:rsidRDefault="00BB1F39" w:rsidP="00BB1F39">
      <w:pPr>
        <w:pStyle w:val="NoSpacing"/>
        <w:rPr>
          <w:b/>
          <w:sz w:val="21"/>
          <w:szCs w:val="21"/>
        </w:rPr>
      </w:pPr>
    </w:p>
    <w:p w14:paraId="54F1196C" w14:textId="0DE68275" w:rsidR="00A03E3A" w:rsidRDefault="00A03E3A" w:rsidP="00BB1F39">
      <w:pPr>
        <w:pStyle w:val="NoSpacing"/>
        <w:rPr>
          <w:b/>
          <w:sz w:val="21"/>
          <w:szCs w:val="21"/>
        </w:rPr>
      </w:pPr>
      <w:r w:rsidRPr="00A03E3A">
        <w:rPr>
          <w:b/>
          <w:sz w:val="21"/>
          <w:szCs w:val="21"/>
        </w:rPr>
        <w:t>Textual Criticism</w:t>
      </w:r>
    </w:p>
    <w:p w14:paraId="5F278CD5" w14:textId="6312D2FC" w:rsidR="00A03E3A" w:rsidRDefault="00A03E3A" w:rsidP="00A03E3A">
      <w:pPr>
        <w:pStyle w:val="NoSpacing"/>
        <w:numPr>
          <w:ilvl w:val="0"/>
          <w:numId w:val="29"/>
        </w:numPr>
        <w:rPr>
          <w:bCs/>
          <w:sz w:val="21"/>
          <w:szCs w:val="21"/>
        </w:rPr>
      </w:pPr>
      <w:r w:rsidRPr="00A03E3A">
        <w:rPr>
          <w:bCs/>
          <w:sz w:val="21"/>
          <w:szCs w:val="21"/>
        </w:rPr>
        <w:t xml:space="preserve">Choosing the reading that best </w:t>
      </w:r>
      <w:r w:rsidRPr="00A03E3A">
        <w:rPr>
          <w:sz w:val="21"/>
          <w:szCs w:val="21"/>
        </w:rPr>
        <w:t>explains</w:t>
      </w:r>
      <w:r w:rsidRPr="00A03E3A">
        <w:rPr>
          <w:bCs/>
          <w:sz w:val="21"/>
          <w:szCs w:val="21"/>
        </w:rPr>
        <w:t xml:space="preserve"> (both internally and externally) the rise of the other readings.</w:t>
      </w:r>
    </w:p>
    <w:p w14:paraId="6434F10D" w14:textId="5E1061F4" w:rsidR="002E4D4A" w:rsidRDefault="002E4D4A" w:rsidP="002E4D4A">
      <w:pPr>
        <w:pStyle w:val="NoSpacing"/>
        <w:rPr>
          <w:bCs/>
          <w:sz w:val="21"/>
          <w:szCs w:val="21"/>
        </w:rPr>
      </w:pPr>
    </w:p>
    <w:p w14:paraId="3121A768" w14:textId="77777777" w:rsidR="00FD69AB" w:rsidRPr="00FD69AB" w:rsidRDefault="00FD69AB" w:rsidP="002E4D4A">
      <w:pPr>
        <w:pStyle w:val="NoSpacing"/>
        <w:rPr>
          <w:b/>
          <w:sz w:val="21"/>
          <w:szCs w:val="21"/>
        </w:rPr>
      </w:pPr>
      <w:r w:rsidRPr="00FD69AB">
        <w:rPr>
          <w:b/>
          <w:sz w:val="21"/>
          <w:szCs w:val="21"/>
        </w:rPr>
        <w:t>Keeping one’s horizon’s in check</w:t>
      </w:r>
      <w:r w:rsidRPr="00FD69AB">
        <w:rPr>
          <w:b/>
          <w:sz w:val="21"/>
          <w:szCs w:val="21"/>
        </w:rPr>
        <w:t xml:space="preserve"> </w:t>
      </w:r>
    </w:p>
    <w:p w14:paraId="73CC5335" w14:textId="524B62FF" w:rsidR="002E4D4A" w:rsidRPr="002E4D4A" w:rsidRDefault="002E4D4A" w:rsidP="00FD69AB">
      <w:pPr>
        <w:pStyle w:val="NoSpacing"/>
        <w:numPr>
          <w:ilvl w:val="0"/>
          <w:numId w:val="35"/>
        </w:numPr>
        <w:rPr>
          <w:bCs/>
          <w:sz w:val="21"/>
          <w:szCs w:val="21"/>
        </w:rPr>
      </w:pPr>
      <w:r w:rsidRPr="002E4D4A">
        <w:rPr>
          <w:bCs/>
          <w:sz w:val="21"/>
          <w:szCs w:val="21"/>
        </w:rPr>
        <w:t>Method</w:t>
      </w:r>
    </w:p>
    <w:p w14:paraId="00A10FC5" w14:textId="77777777" w:rsidR="002E4D4A" w:rsidRPr="002E4D4A" w:rsidRDefault="002E4D4A" w:rsidP="00FD69AB">
      <w:pPr>
        <w:pStyle w:val="NoSpacing"/>
        <w:numPr>
          <w:ilvl w:val="0"/>
          <w:numId w:val="35"/>
        </w:numPr>
        <w:rPr>
          <w:bCs/>
          <w:sz w:val="21"/>
          <w:szCs w:val="21"/>
        </w:rPr>
      </w:pPr>
      <w:r w:rsidRPr="002E4D4A">
        <w:rPr>
          <w:bCs/>
          <w:sz w:val="21"/>
          <w:szCs w:val="21"/>
        </w:rPr>
        <w:t>Publicly laying out one’s horizons</w:t>
      </w:r>
    </w:p>
    <w:p w14:paraId="3DE6A141" w14:textId="77777777" w:rsidR="002E4D4A" w:rsidRPr="002E4D4A" w:rsidRDefault="002E4D4A" w:rsidP="00FD69AB">
      <w:pPr>
        <w:pStyle w:val="NoSpacing"/>
        <w:numPr>
          <w:ilvl w:val="0"/>
          <w:numId w:val="35"/>
        </w:numPr>
        <w:rPr>
          <w:bCs/>
          <w:sz w:val="21"/>
          <w:szCs w:val="21"/>
        </w:rPr>
      </w:pPr>
      <w:r w:rsidRPr="002E4D4A">
        <w:rPr>
          <w:bCs/>
          <w:sz w:val="21"/>
          <w:szCs w:val="21"/>
        </w:rPr>
        <w:t>Meer pressure</w:t>
      </w:r>
    </w:p>
    <w:p w14:paraId="53C5064B" w14:textId="77777777" w:rsidR="002E4D4A" w:rsidRPr="002E4D4A" w:rsidRDefault="002E4D4A" w:rsidP="00FD69AB">
      <w:pPr>
        <w:pStyle w:val="NoSpacing"/>
        <w:numPr>
          <w:ilvl w:val="0"/>
          <w:numId w:val="35"/>
        </w:numPr>
        <w:rPr>
          <w:bCs/>
          <w:sz w:val="21"/>
          <w:szCs w:val="21"/>
        </w:rPr>
      </w:pPr>
      <w:r w:rsidRPr="002E4D4A">
        <w:rPr>
          <w:bCs/>
          <w:sz w:val="21"/>
          <w:szCs w:val="21"/>
        </w:rPr>
        <w:t>Submitting ideas to unsympathetic experts</w:t>
      </w:r>
    </w:p>
    <w:p w14:paraId="488F3BB8" w14:textId="77777777" w:rsidR="002E4D4A" w:rsidRPr="002E4D4A" w:rsidRDefault="002E4D4A" w:rsidP="00FD69AB">
      <w:pPr>
        <w:pStyle w:val="NoSpacing"/>
        <w:numPr>
          <w:ilvl w:val="0"/>
          <w:numId w:val="35"/>
        </w:numPr>
        <w:rPr>
          <w:bCs/>
          <w:sz w:val="21"/>
          <w:szCs w:val="21"/>
        </w:rPr>
      </w:pPr>
      <w:r w:rsidRPr="002E4D4A">
        <w:rPr>
          <w:bCs/>
          <w:sz w:val="21"/>
          <w:szCs w:val="21"/>
        </w:rPr>
        <w:t>Account for the relevant historical bedrock</w:t>
      </w:r>
    </w:p>
    <w:p w14:paraId="358AAC80" w14:textId="39F2DED5" w:rsidR="002E4D4A" w:rsidRPr="00A03E3A" w:rsidRDefault="002E4D4A" w:rsidP="00FD69AB">
      <w:pPr>
        <w:pStyle w:val="NoSpacing"/>
        <w:numPr>
          <w:ilvl w:val="0"/>
          <w:numId w:val="35"/>
        </w:numPr>
        <w:rPr>
          <w:bCs/>
          <w:sz w:val="21"/>
          <w:szCs w:val="21"/>
        </w:rPr>
      </w:pPr>
      <w:r w:rsidRPr="002E4D4A">
        <w:rPr>
          <w:bCs/>
          <w:sz w:val="21"/>
          <w:szCs w:val="21"/>
        </w:rPr>
        <w:t>Detachment from bias (</w:t>
      </w:r>
      <w:proofErr w:type="spellStart"/>
      <w:r w:rsidRPr="002E4D4A">
        <w:rPr>
          <w:bCs/>
          <w:sz w:val="21"/>
          <w:szCs w:val="21"/>
        </w:rPr>
        <w:t>Licona</w:t>
      </w:r>
      <w:proofErr w:type="spellEnd"/>
      <w:r w:rsidRPr="002E4D4A">
        <w:rPr>
          <w:bCs/>
          <w:sz w:val="21"/>
          <w:szCs w:val="21"/>
        </w:rPr>
        <w:t>, The Resurrection of Jesus, 52–8).</w:t>
      </w:r>
    </w:p>
    <w:p w14:paraId="777F1AC5" w14:textId="0D04454B" w:rsidR="00A03E3A" w:rsidRDefault="00A03E3A" w:rsidP="00BB1F39">
      <w:pPr>
        <w:pStyle w:val="NoSpacing"/>
        <w:rPr>
          <w:b/>
          <w:sz w:val="21"/>
          <w:szCs w:val="21"/>
        </w:rPr>
      </w:pPr>
    </w:p>
    <w:p w14:paraId="77E2FDE6" w14:textId="77777777" w:rsidR="009A5A1E" w:rsidRDefault="009A5A1E" w:rsidP="00BB1F39">
      <w:pPr>
        <w:pStyle w:val="NoSpacing"/>
        <w:rPr>
          <w:b/>
          <w:sz w:val="21"/>
          <w:szCs w:val="21"/>
        </w:rPr>
      </w:pPr>
    </w:p>
    <w:p w14:paraId="284F2E92" w14:textId="4595A85A" w:rsidR="000C76E8" w:rsidRPr="00F7115D" w:rsidRDefault="000C76E8" w:rsidP="00BB1F39">
      <w:pPr>
        <w:pStyle w:val="NoSpacing"/>
        <w:rPr>
          <w:b/>
          <w:sz w:val="21"/>
          <w:szCs w:val="21"/>
        </w:rPr>
      </w:pPr>
      <w:r w:rsidRPr="00F7115D">
        <w:rPr>
          <w:b/>
          <w:sz w:val="21"/>
          <w:szCs w:val="21"/>
        </w:rPr>
        <w:t>Definition of a Miracle</w:t>
      </w:r>
    </w:p>
    <w:p w14:paraId="00BA6A37" w14:textId="77777777" w:rsidR="000C76E8" w:rsidRPr="00F7115D" w:rsidRDefault="000C76E8" w:rsidP="000C76E8">
      <w:pPr>
        <w:pStyle w:val="NoSpacing"/>
        <w:numPr>
          <w:ilvl w:val="0"/>
          <w:numId w:val="29"/>
        </w:numPr>
        <w:rPr>
          <w:sz w:val="21"/>
          <w:szCs w:val="21"/>
        </w:rPr>
      </w:pPr>
      <w:r w:rsidRPr="00F7115D">
        <w:rPr>
          <w:sz w:val="21"/>
          <w:szCs w:val="21"/>
        </w:rPr>
        <w:t>A theist might say a miracle is “a less common kind of God’s activity.” Whereas an atheist might say a miracle is “a violation of natural law.” Wayne A. Grudem, Systematic Theology: An Introduction to Biblical Doctrine (Grand Rapids, MI: Zondervan, 1994), 350.</w:t>
      </w:r>
    </w:p>
    <w:p w14:paraId="0A8964EC" w14:textId="77777777" w:rsidR="000C76E8" w:rsidRPr="00F7115D" w:rsidRDefault="000C76E8" w:rsidP="000C76E8">
      <w:pPr>
        <w:pStyle w:val="NoSpacing"/>
        <w:numPr>
          <w:ilvl w:val="0"/>
          <w:numId w:val="29"/>
        </w:numPr>
        <w:rPr>
          <w:sz w:val="21"/>
          <w:szCs w:val="21"/>
        </w:rPr>
      </w:pPr>
      <w:r w:rsidRPr="00F7115D">
        <w:rPr>
          <w:sz w:val="21"/>
          <w:szCs w:val="21"/>
        </w:rPr>
        <w:t>Whereas an Atheist might say “a miracle is a violation of the laws of nature.” David Hume, Enquiries Concerning Human Understanding, ed. L.A. Selby-</w:t>
      </w:r>
      <w:proofErr w:type="spellStart"/>
      <w:r w:rsidRPr="00F7115D">
        <w:rPr>
          <w:sz w:val="21"/>
          <w:szCs w:val="21"/>
        </w:rPr>
        <w:t>Bigge</w:t>
      </w:r>
      <w:proofErr w:type="spellEnd"/>
      <w:r w:rsidRPr="00F7115D">
        <w:rPr>
          <w:sz w:val="21"/>
          <w:szCs w:val="21"/>
        </w:rPr>
        <w:t xml:space="preserve"> 3rd ed. Oxford: Oxford University Press, 1975 (originally published 1748), 114. “Hume offered two definitions of “miracle;” first, as a violation of natural law (Enquiries p. 114); shortly afterward he offers a more complex definition when he says that a miracle is </w:t>
      </w:r>
      <w:r w:rsidRPr="00F7115D">
        <w:rPr>
          <w:sz w:val="21"/>
          <w:szCs w:val="21"/>
        </w:rPr>
        <w:lastRenderedPageBreak/>
        <w:t xml:space="preserve">“a transgression of a law of nature by a particular volition of the Deity, or by the interposition of some invisible agent” (Enquiries, p. 115n);” David Corner, “Miracles,” Internet Encyclopedia of Philosophy, eds. James </w:t>
      </w:r>
      <w:proofErr w:type="spellStart"/>
      <w:r w:rsidRPr="00F7115D">
        <w:rPr>
          <w:sz w:val="21"/>
          <w:szCs w:val="21"/>
        </w:rPr>
        <w:t>Fieser</w:t>
      </w:r>
      <w:proofErr w:type="spellEnd"/>
      <w:r w:rsidRPr="00F7115D">
        <w:rPr>
          <w:sz w:val="21"/>
          <w:szCs w:val="21"/>
        </w:rPr>
        <w:t xml:space="preserve"> and Bradley Dowden. Available at: http://www.iep.utm.edu/miracles/ (accessed January 28, 2018).</w:t>
      </w:r>
    </w:p>
    <w:p w14:paraId="53F17A44" w14:textId="77777777" w:rsidR="000C76E8" w:rsidRPr="00F7115D" w:rsidRDefault="000C76E8" w:rsidP="000C76E8">
      <w:pPr>
        <w:pStyle w:val="NoSpacing"/>
        <w:numPr>
          <w:ilvl w:val="0"/>
          <w:numId w:val="29"/>
        </w:numPr>
        <w:rPr>
          <w:sz w:val="21"/>
          <w:szCs w:val="21"/>
        </w:rPr>
      </w:pPr>
      <w:r w:rsidRPr="00F7115D">
        <w:rPr>
          <w:sz w:val="21"/>
          <w:szCs w:val="21"/>
        </w:rPr>
        <w:t xml:space="preserve">One “may recognize that an event is a miracle when the event (a) is extremely unlikely to have occurred, given the circumstances and/or natural law and (b) it occurs in an environment or context charged with religious significance.” Michael </w:t>
      </w:r>
      <w:proofErr w:type="spellStart"/>
      <w:r w:rsidRPr="00F7115D">
        <w:rPr>
          <w:sz w:val="21"/>
          <w:szCs w:val="21"/>
        </w:rPr>
        <w:t>Licona</w:t>
      </w:r>
      <w:proofErr w:type="spellEnd"/>
      <w:r w:rsidRPr="00F7115D">
        <w:rPr>
          <w:sz w:val="21"/>
          <w:szCs w:val="21"/>
        </w:rPr>
        <w:t xml:space="preserve">, “Historians and Miracle Claims” JSHJ 12 (2014), 119. </w:t>
      </w:r>
      <w:proofErr w:type="spellStart"/>
      <w:r w:rsidRPr="00F7115D">
        <w:rPr>
          <w:sz w:val="21"/>
          <w:szCs w:val="21"/>
        </w:rPr>
        <w:t>Licona</w:t>
      </w:r>
      <w:proofErr w:type="spellEnd"/>
      <w:r w:rsidRPr="00F7115D">
        <w:rPr>
          <w:sz w:val="21"/>
          <w:szCs w:val="21"/>
        </w:rPr>
        <w:t xml:space="preserve"> refers to: William Lane Craig, and J. P. Moreland. Philosophical Foundations for a Christian Worldview (Downers Grove, IL: Inter Varsity, 2003), 569.</w:t>
      </w:r>
    </w:p>
    <w:p w14:paraId="146359BD" w14:textId="77777777" w:rsidR="000C76E8" w:rsidRPr="00F7115D" w:rsidRDefault="000C76E8" w:rsidP="00F74E8C">
      <w:pPr>
        <w:pStyle w:val="NoSpacing"/>
        <w:ind w:left="720"/>
        <w:rPr>
          <w:sz w:val="21"/>
          <w:szCs w:val="21"/>
        </w:rPr>
      </w:pPr>
    </w:p>
    <w:p w14:paraId="1B091F6B" w14:textId="77777777" w:rsidR="00F74E8C" w:rsidRPr="00F7115D" w:rsidRDefault="00F74E8C" w:rsidP="00F74E8C">
      <w:pPr>
        <w:pStyle w:val="NoSpacing"/>
        <w:rPr>
          <w:sz w:val="21"/>
          <w:szCs w:val="21"/>
        </w:rPr>
      </w:pPr>
      <w:r w:rsidRPr="00F7115D">
        <w:rPr>
          <w:b/>
          <w:sz w:val="21"/>
          <w:szCs w:val="21"/>
        </w:rPr>
        <w:t>Definition of Science</w:t>
      </w:r>
    </w:p>
    <w:p w14:paraId="48071E71" w14:textId="77777777" w:rsidR="00F74E8C" w:rsidRPr="00F7115D" w:rsidRDefault="00F74E8C" w:rsidP="00F74E8C">
      <w:pPr>
        <w:pStyle w:val="NoSpacing"/>
        <w:numPr>
          <w:ilvl w:val="0"/>
          <w:numId w:val="29"/>
        </w:numPr>
        <w:rPr>
          <w:sz w:val="21"/>
          <w:szCs w:val="21"/>
        </w:rPr>
      </w:pPr>
      <w:r w:rsidRPr="00F7115D">
        <w:rPr>
          <w:sz w:val="21"/>
          <w:szCs w:val="21"/>
        </w:rPr>
        <w:t xml:space="preserve">The English word “science” comes from the Latin </w:t>
      </w:r>
      <w:proofErr w:type="spellStart"/>
      <w:r w:rsidRPr="00F7115D">
        <w:rPr>
          <w:sz w:val="21"/>
          <w:szCs w:val="21"/>
        </w:rPr>
        <w:t>scientia</w:t>
      </w:r>
      <w:proofErr w:type="spellEnd"/>
      <w:r w:rsidRPr="00F7115D">
        <w:rPr>
          <w:sz w:val="21"/>
          <w:szCs w:val="21"/>
        </w:rPr>
        <w:t xml:space="preserve"> meaning knowledge.</w:t>
      </w:r>
    </w:p>
    <w:p w14:paraId="5427B555" w14:textId="77777777" w:rsidR="00F74E8C" w:rsidRPr="00F7115D" w:rsidRDefault="00F74E8C" w:rsidP="00F74E8C">
      <w:pPr>
        <w:pStyle w:val="NoSpacing"/>
        <w:numPr>
          <w:ilvl w:val="0"/>
          <w:numId w:val="29"/>
        </w:numPr>
        <w:rPr>
          <w:sz w:val="21"/>
          <w:szCs w:val="21"/>
        </w:rPr>
      </w:pPr>
      <w:r w:rsidRPr="00F7115D">
        <w:rPr>
          <w:sz w:val="21"/>
          <w:szCs w:val="21"/>
        </w:rPr>
        <w:t xml:space="preserve">The Oxford Dictionary provides a sample understanding of how the word science is used today, “the intellectual and practical activity encompassing the systematic study of the structure and </w:t>
      </w:r>
      <w:proofErr w:type="spellStart"/>
      <w:r w:rsidRPr="00F7115D">
        <w:rPr>
          <w:sz w:val="21"/>
          <w:szCs w:val="21"/>
        </w:rPr>
        <w:t>behaviour</w:t>
      </w:r>
      <w:proofErr w:type="spellEnd"/>
      <w:r w:rsidRPr="00F7115D">
        <w:rPr>
          <w:sz w:val="21"/>
          <w:szCs w:val="21"/>
        </w:rPr>
        <w:t xml:space="preserve"> of the physical and natural world through observation and experiment.”</w:t>
      </w:r>
    </w:p>
    <w:p w14:paraId="12646762" w14:textId="77777777" w:rsidR="00F74E8C" w:rsidRPr="00F7115D" w:rsidRDefault="00F74E8C" w:rsidP="00F74E8C">
      <w:pPr>
        <w:pStyle w:val="NoSpacing"/>
        <w:rPr>
          <w:sz w:val="21"/>
          <w:szCs w:val="21"/>
        </w:rPr>
      </w:pPr>
    </w:p>
    <w:p w14:paraId="30DEC47D" w14:textId="77777777" w:rsidR="00F74E8C" w:rsidRPr="00F7115D" w:rsidRDefault="00F74E8C" w:rsidP="00F74E8C">
      <w:pPr>
        <w:pStyle w:val="NoSpacing"/>
        <w:rPr>
          <w:b/>
          <w:sz w:val="21"/>
          <w:szCs w:val="21"/>
        </w:rPr>
      </w:pPr>
      <w:r w:rsidRPr="00F7115D">
        <w:rPr>
          <w:b/>
          <w:sz w:val="21"/>
          <w:szCs w:val="21"/>
        </w:rPr>
        <w:t>Scientism</w:t>
      </w:r>
    </w:p>
    <w:p w14:paraId="6D24B77D" w14:textId="77777777" w:rsidR="00F74E8C" w:rsidRPr="00F7115D" w:rsidRDefault="00F74E8C" w:rsidP="00F74E8C">
      <w:pPr>
        <w:pStyle w:val="NoSpacing"/>
        <w:numPr>
          <w:ilvl w:val="0"/>
          <w:numId w:val="29"/>
        </w:numPr>
        <w:rPr>
          <w:sz w:val="21"/>
          <w:szCs w:val="21"/>
        </w:rPr>
      </w:pPr>
      <w:r w:rsidRPr="00F7115D">
        <w:rPr>
          <w:sz w:val="21"/>
          <w:szCs w:val="21"/>
        </w:rPr>
        <w:t>“One should only believe scientific truths”</w:t>
      </w:r>
    </w:p>
    <w:p w14:paraId="34A02C93" w14:textId="77777777" w:rsidR="00F74E8C" w:rsidRPr="00F7115D" w:rsidRDefault="00F74E8C" w:rsidP="00F74E8C">
      <w:pPr>
        <w:pStyle w:val="NoSpacing"/>
        <w:numPr>
          <w:ilvl w:val="0"/>
          <w:numId w:val="29"/>
        </w:numPr>
        <w:rPr>
          <w:sz w:val="21"/>
          <w:szCs w:val="21"/>
        </w:rPr>
      </w:pPr>
      <w:r w:rsidRPr="00F7115D">
        <w:rPr>
          <w:sz w:val="21"/>
          <w:szCs w:val="21"/>
        </w:rPr>
        <w:t>“Science is the measure of what matters”</w:t>
      </w:r>
    </w:p>
    <w:p w14:paraId="7FDAC81C" w14:textId="77777777" w:rsidR="00F74E8C" w:rsidRPr="00F7115D" w:rsidRDefault="00F74E8C" w:rsidP="00F74E8C">
      <w:pPr>
        <w:pStyle w:val="NoSpacing"/>
        <w:rPr>
          <w:sz w:val="21"/>
          <w:szCs w:val="21"/>
        </w:rPr>
      </w:pPr>
    </w:p>
    <w:p w14:paraId="073BC9AB" w14:textId="77777777" w:rsidR="00F74E8C" w:rsidRPr="00F7115D" w:rsidRDefault="00F74E8C" w:rsidP="00F74E8C">
      <w:pPr>
        <w:pStyle w:val="NoSpacing"/>
        <w:rPr>
          <w:sz w:val="21"/>
          <w:szCs w:val="21"/>
        </w:rPr>
      </w:pPr>
      <w:r w:rsidRPr="00F7115D">
        <w:rPr>
          <w:b/>
          <w:sz w:val="21"/>
          <w:szCs w:val="21"/>
        </w:rPr>
        <w:t>Integrating Science and Theology</w:t>
      </w:r>
    </w:p>
    <w:p w14:paraId="1BB46364" w14:textId="77777777" w:rsidR="00F74E8C" w:rsidRPr="00F7115D" w:rsidRDefault="00F74E8C" w:rsidP="00F74E8C">
      <w:pPr>
        <w:pStyle w:val="NoSpacing"/>
        <w:numPr>
          <w:ilvl w:val="0"/>
          <w:numId w:val="29"/>
        </w:numPr>
        <w:rPr>
          <w:sz w:val="21"/>
          <w:szCs w:val="21"/>
        </w:rPr>
      </w:pPr>
      <w:r w:rsidRPr="00F7115D">
        <w:rPr>
          <w:sz w:val="21"/>
          <w:szCs w:val="21"/>
        </w:rPr>
        <w:t>Non-Overlapping</w:t>
      </w:r>
    </w:p>
    <w:p w14:paraId="7255A4A1" w14:textId="77777777" w:rsidR="00F74E8C" w:rsidRPr="00F7115D" w:rsidRDefault="00F74E8C" w:rsidP="00F74E8C">
      <w:pPr>
        <w:pStyle w:val="NoSpacing"/>
        <w:numPr>
          <w:ilvl w:val="0"/>
          <w:numId w:val="29"/>
        </w:numPr>
        <w:rPr>
          <w:sz w:val="21"/>
          <w:szCs w:val="21"/>
        </w:rPr>
      </w:pPr>
      <w:r w:rsidRPr="00F7115D">
        <w:rPr>
          <w:sz w:val="21"/>
          <w:szCs w:val="21"/>
        </w:rPr>
        <w:t>Complementary</w:t>
      </w:r>
    </w:p>
    <w:p w14:paraId="5A99A242" w14:textId="77777777" w:rsidR="00F74E8C" w:rsidRPr="00F7115D" w:rsidRDefault="00F74E8C" w:rsidP="00F74E8C">
      <w:pPr>
        <w:pStyle w:val="NoSpacing"/>
        <w:numPr>
          <w:ilvl w:val="0"/>
          <w:numId w:val="29"/>
        </w:numPr>
        <w:rPr>
          <w:sz w:val="21"/>
          <w:szCs w:val="21"/>
        </w:rPr>
      </w:pPr>
      <w:r w:rsidRPr="00F7115D">
        <w:rPr>
          <w:sz w:val="21"/>
          <w:szCs w:val="21"/>
        </w:rPr>
        <w:t xml:space="preserve">Overlapping </w:t>
      </w:r>
    </w:p>
    <w:p w14:paraId="52F29BDC" w14:textId="77777777" w:rsidR="00F74E8C" w:rsidRPr="00F7115D" w:rsidRDefault="00F74E8C" w:rsidP="00F74E8C">
      <w:pPr>
        <w:pStyle w:val="NoSpacing"/>
        <w:rPr>
          <w:sz w:val="21"/>
          <w:szCs w:val="21"/>
        </w:rPr>
      </w:pPr>
    </w:p>
    <w:p w14:paraId="4052379D" w14:textId="77777777" w:rsidR="00F74E8C" w:rsidRPr="00F7115D" w:rsidRDefault="00F74E8C" w:rsidP="00F74E8C">
      <w:pPr>
        <w:pStyle w:val="NoSpacing"/>
        <w:rPr>
          <w:b/>
          <w:sz w:val="21"/>
          <w:szCs w:val="21"/>
        </w:rPr>
      </w:pPr>
      <w:r w:rsidRPr="00F7115D">
        <w:rPr>
          <w:b/>
          <w:sz w:val="21"/>
          <w:szCs w:val="21"/>
        </w:rPr>
        <w:t>Christianity and Methodological Naturalism?</w:t>
      </w:r>
    </w:p>
    <w:p w14:paraId="2D2C6312" w14:textId="77777777" w:rsidR="00F74E8C" w:rsidRPr="00F7115D" w:rsidRDefault="00F74E8C" w:rsidP="00F74E8C">
      <w:pPr>
        <w:pStyle w:val="NoSpacing"/>
        <w:numPr>
          <w:ilvl w:val="0"/>
          <w:numId w:val="29"/>
        </w:numPr>
        <w:rPr>
          <w:sz w:val="21"/>
          <w:szCs w:val="21"/>
        </w:rPr>
      </w:pPr>
      <w:r w:rsidRPr="00F7115D">
        <w:rPr>
          <w:sz w:val="21"/>
          <w:szCs w:val="21"/>
        </w:rPr>
        <w:t>Limiting science to only natural causes not as a claim of all that is, but merely for the purpose of investigating the natural world.</w:t>
      </w:r>
    </w:p>
    <w:p w14:paraId="1AE165A2" w14:textId="77777777" w:rsidR="00F74E8C" w:rsidRPr="00F7115D" w:rsidRDefault="00F74E8C" w:rsidP="00F74E8C">
      <w:pPr>
        <w:pStyle w:val="NoSpacing"/>
        <w:rPr>
          <w:sz w:val="21"/>
          <w:szCs w:val="21"/>
        </w:rPr>
      </w:pPr>
    </w:p>
    <w:p w14:paraId="5404C540" w14:textId="77777777" w:rsidR="00F74E8C" w:rsidRPr="00F7115D" w:rsidRDefault="00F74E8C" w:rsidP="00F74E8C">
      <w:pPr>
        <w:pStyle w:val="NoSpacing"/>
        <w:rPr>
          <w:b/>
          <w:sz w:val="21"/>
          <w:szCs w:val="21"/>
        </w:rPr>
      </w:pPr>
      <w:r w:rsidRPr="00F7115D">
        <w:rPr>
          <w:b/>
          <w:sz w:val="21"/>
          <w:szCs w:val="21"/>
        </w:rPr>
        <w:t>Atheism and Methodological Naturalism</w:t>
      </w:r>
    </w:p>
    <w:p w14:paraId="56101A71" w14:textId="77777777" w:rsidR="00F74E8C" w:rsidRPr="00F7115D" w:rsidRDefault="00F74E8C" w:rsidP="00F74E8C">
      <w:pPr>
        <w:pStyle w:val="NoSpacing"/>
        <w:numPr>
          <w:ilvl w:val="0"/>
          <w:numId w:val="29"/>
        </w:numPr>
        <w:rPr>
          <w:sz w:val="21"/>
          <w:szCs w:val="21"/>
        </w:rPr>
      </w:pPr>
      <w:r w:rsidRPr="00F7115D">
        <w:rPr>
          <w:sz w:val="21"/>
          <w:szCs w:val="21"/>
        </w:rPr>
        <w:t xml:space="preserve">Given naturalism, all life including humans have evolved by way of natural selection with the fittest surviving. As such human beings have no reason to think that their cognitive faculties are aimed at producing true beliefs but rather are only aimed at survival value. Consequently, given naturalism, there is no reason to suppose that one’s beliefs including naturalism is true. Hence, naturalism is a self-defeating view. </w:t>
      </w:r>
    </w:p>
    <w:p w14:paraId="42D333FF" w14:textId="77777777" w:rsidR="00F74E8C" w:rsidRPr="00F7115D" w:rsidRDefault="00F74E8C" w:rsidP="00F74E8C">
      <w:pPr>
        <w:pStyle w:val="NoSpacing"/>
        <w:rPr>
          <w:sz w:val="21"/>
          <w:szCs w:val="21"/>
        </w:rPr>
      </w:pPr>
    </w:p>
    <w:p w14:paraId="782BB8E4" w14:textId="77777777" w:rsidR="00F74E8C" w:rsidRPr="00F7115D" w:rsidRDefault="00F74E8C" w:rsidP="00F74E8C">
      <w:pPr>
        <w:pStyle w:val="NoSpacing"/>
        <w:rPr>
          <w:b/>
          <w:sz w:val="21"/>
          <w:szCs w:val="21"/>
        </w:rPr>
      </w:pPr>
      <w:r w:rsidRPr="00F7115D">
        <w:rPr>
          <w:b/>
          <w:sz w:val="21"/>
          <w:szCs w:val="21"/>
        </w:rPr>
        <w:t>Objection – God of the Gaps</w:t>
      </w:r>
    </w:p>
    <w:p w14:paraId="4060F5B2" w14:textId="77777777" w:rsidR="00F74E8C" w:rsidRPr="00F7115D" w:rsidRDefault="00F74E8C" w:rsidP="00F74E8C">
      <w:pPr>
        <w:pStyle w:val="NoSpacing"/>
        <w:numPr>
          <w:ilvl w:val="0"/>
          <w:numId w:val="29"/>
        </w:numPr>
        <w:rPr>
          <w:sz w:val="21"/>
          <w:szCs w:val="21"/>
        </w:rPr>
      </w:pPr>
      <w:r w:rsidRPr="00F7115D">
        <w:rPr>
          <w:sz w:val="21"/>
          <w:szCs w:val="21"/>
        </w:rPr>
        <w:t>Lack sufficient reason to invoke God</w:t>
      </w:r>
    </w:p>
    <w:p w14:paraId="62BE72AC" w14:textId="77777777" w:rsidR="00F74E8C" w:rsidRPr="00F7115D" w:rsidRDefault="00F74E8C" w:rsidP="00F74E8C">
      <w:pPr>
        <w:pStyle w:val="NoSpacing"/>
        <w:numPr>
          <w:ilvl w:val="0"/>
          <w:numId w:val="29"/>
        </w:numPr>
        <w:rPr>
          <w:sz w:val="21"/>
          <w:szCs w:val="21"/>
        </w:rPr>
      </w:pPr>
      <w:r w:rsidRPr="00F7115D">
        <w:rPr>
          <w:sz w:val="21"/>
          <w:szCs w:val="21"/>
        </w:rPr>
        <w:t>The fine-tuning of the universe is due to either physical necessity, chance, or design.</w:t>
      </w:r>
    </w:p>
    <w:p w14:paraId="3F42157D" w14:textId="77777777" w:rsidR="00F74E8C" w:rsidRPr="00F7115D" w:rsidRDefault="00F74E8C" w:rsidP="00F74E8C">
      <w:pPr>
        <w:pStyle w:val="NoSpacing"/>
        <w:numPr>
          <w:ilvl w:val="0"/>
          <w:numId w:val="29"/>
        </w:numPr>
        <w:rPr>
          <w:sz w:val="21"/>
          <w:szCs w:val="21"/>
        </w:rPr>
      </w:pPr>
      <w:r w:rsidRPr="00F7115D">
        <w:rPr>
          <w:sz w:val="21"/>
          <w:szCs w:val="21"/>
        </w:rPr>
        <w:t>It is not due to physical necessity or chance.</w:t>
      </w:r>
    </w:p>
    <w:p w14:paraId="653F308D" w14:textId="77777777" w:rsidR="00F74E8C" w:rsidRPr="00F7115D" w:rsidRDefault="00F74E8C" w:rsidP="00F74E8C">
      <w:pPr>
        <w:pStyle w:val="NoSpacing"/>
        <w:numPr>
          <w:ilvl w:val="0"/>
          <w:numId w:val="29"/>
        </w:numPr>
        <w:rPr>
          <w:sz w:val="21"/>
          <w:szCs w:val="21"/>
        </w:rPr>
      </w:pPr>
      <w:r w:rsidRPr="00F7115D">
        <w:rPr>
          <w:sz w:val="21"/>
          <w:szCs w:val="21"/>
        </w:rPr>
        <w:t>Therefore, it is due to design.</w:t>
      </w:r>
    </w:p>
    <w:p w14:paraId="443690C0" w14:textId="77777777" w:rsidR="00F74E8C" w:rsidRPr="00F7115D" w:rsidRDefault="00F74E8C" w:rsidP="00F74E8C">
      <w:pPr>
        <w:pStyle w:val="NoSpacing"/>
        <w:rPr>
          <w:sz w:val="21"/>
          <w:szCs w:val="21"/>
        </w:rPr>
      </w:pPr>
    </w:p>
    <w:p w14:paraId="7C5BF56E" w14:textId="77777777" w:rsidR="00F74E8C" w:rsidRPr="00F7115D" w:rsidRDefault="00F74E8C" w:rsidP="00F74E8C">
      <w:pPr>
        <w:pStyle w:val="NoSpacing"/>
        <w:rPr>
          <w:b/>
          <w:sz w:val="21"/>
          <w:szCs w:val="21"/>
        </w:rPr>
      </w:pPr>
      <w:r w:rsidRPr="00F7115D">
        <w:rPr>
          <w:b/>
          <w:sz w:val="21"/>
          <w:szCs w:val="21"/>
        </w:rPr>
        <w:t xml:space="preserve">Are Miracles Identifiable? </w:t>
      </w:r>
    </w:p>
    <w:p w14:paraId="6EE37B70" w14:textId="77777777" w:rsidR="00F74E8C" w:rsidRPr="00F7115D" w:rsidRDefault="00F74E8C" w:rsidP="00F74E8C">
      <w:pPr>
        <w:pStyle w:val="NoSpacing"/>
        <w:numPr>
          <w:ilvl w:val="0"/>
          <w:numId w:val="30"/>
        </w:numPr>
        <w:rPr>
          <w:sz w:val="21"/>
          <w:szCs w:val="21"/>
        </w:rPr>
      </w:pPr>
      <w:r w:rsidRPr="00F7115D">
        <w:rPr>
          <w:sz w:val="21"/>
          <w:szCs w:val="21"/>
        </w:rPr>
        <w:t>A miracle must be distinguishable before it can be known to have occurred.</w:t>
      </w:r>
    </w:p>
    <w:p w14:paraId="280368E8" w14:textId="77777777" w:rsidR="00F74E8C" w:rsidRPr="00F7115D" w:rsidRDefault="00F74E8C" w:rsidP="00F74E8C">
      <w:pPr>
        <w:pStyle w:val="NoSpacing"/>
        <w:numPr>
          <w:ilvl w:val="0"/>
          <w:numId w:val="31"/>
        </w:numPr>
        <w:rPr>
          <w:sz w:val="21"/>
          <w:szCs w:val="21"/>
        </w:rPr>
      </w:pPr>
      <w:r w:rsidRPr="00F7115D">
        <w:rPr>
          <w:sz w:val="21"/>
          <w:szCs w:val="21"/>
        </w:rPr>
        <w:t>The cause of a miracles is either natural or supernatural.</w:t>
      </w:r>
    </w:p>
    <w:p w14:paraId="25DC5171" w14:textId="77777777" w:rsidR="00F74E8C" w:rsidRPr="00F7115D" w:rsidRDefault="00F74E8C" w:rsidP="00F74E8C">
      <w:pPr>
        <w:pStyle w:val="NoSpacing"/>
        <w:numPr>
          <w:ilvl w:val="0"/>
          <w:numId w:val="31"/>
        </w:numPr>
        <w:rPr>
          <w:sz w:val="21"/>
          <w:szCs w:val="21"/>
        </w:rPr>
      </w:pPr>
      <w:r w:rsidRPr="00F7115D">
        <w:rPr>
          <w:sz w:val="21"/>
          <w:szCs w:val="21"/>
        </w:rPr>
        <w:t>But to identify a miracle as supernatural (as an act of God) begs the question.</w:t>
      </w:r>
    </w:p>
    <w:p w14:paraId="102D28A1" w14:textId="77777777" w:rsidR="00F74E8C" w:rsidRPr="00F7115D" w:rsidRDefault="00F74E8C" w:rsidP="00F74E8C">
      <w:pPr>
        <w:pStyle w:val="NoSpacing"/>
        <w:numPr>
          <w:ilvl w:val="0"/>
          <w:numId w:val="31"/>
        </w:numPr>
        <w:rPr>
          <w:sz w:val="21"/>
          <w:szCs w:val="21"/>
        </w:rPr>
      </w:pPr>
      <w:r w:rsidRPr="00F7115D">
        <w:rPr>
          <w:sz w:val="21"/>
          <w:szCs w:val="21"/>
        </w:rPr>
        <w:t>To identify a miracle as natural event robs it of its supernaturalness.</w:t>
      </w:r>
    </w:p>
    <w:p w14:paraId="2F7C7464" w14:textId="77777777" w:rsidR="00F74E8C" w:rsidRPr="00F7115D" w:rsidRDefault="00F74E8C" w:rsidP="00F74E8C">
      <w:pPr>
        <w:pStyle w:val="NoSpacing"/>
        <w:numPr>
          <w:ilvl w:val="0"/>
          <w:numId w:val="31"/>
        </w:numPr>
        <w:rPr>
          <w:sz w:val="21"/>
          <w:szCs w:val="21"/>
        </w:rPr>
      </w:pPr>
      <w:r w:rsidRPr="00F7115D">
        <w:rPr>
          <w:sz w:val="21"/>
          <w:szCs w:val="21"/>
        </w:rPr>
        <w:t>Therefore, miracles cannot be known to have occurred, since there is no way to identify them.</w:t>
      </w:r>
    </w:p>
    <w:p w14:paraId="5489FA3E" w14:textId="77777777" w:rsidR="00F74E8C" w:rsidRPr="00F7115D" w:rsidRDefault="00F74E8C" w:rsidP="00F74E8C">
      <w:pPr>
        <w:pStyle w:val="NoSpacing"/>
        <w:rPr>
          <w:sz w:val="21"/>
          <w:szCs w:val="21"/>
        </w:rPr>
      </w:pPr>
    </w:p>
    <w:p w14:paraId="260A3136" w14:textId="77777777" w:rsidR="00F74E8C" w:rsidRPr="00F7115D" w:rsidRDefault="00F74E8C" w:rsidP="00F74E8C">
      <w:pPr>
        <w:pStyle w:val="NoSpacing"/>
        <w:rPr>
          <w:b/>
          <w:sz w:val="21"/>
          <w:szCs w:val="21"/>
        </w:rPr>
      </w:pPr>
      <w:r w:rsidRPr="00F7115D">
        <w:rPr>
          <w:b/>
          <w:sz w:val="21"/>
          <w:szCs w:val="21"/>
        </w:rPr>
        <w:t xml:space="preserve">Do Miracles Destroy </w:t>
      </w:r>
      <w:r w:rsidRPr="00371B10">
        <w:rPr>
          <w:b/>
          <w:sz w:val="21"/>
          <w:szCs w:val="21"/>
        </w:rPr>
        <w:t>Science</w:t>
      </w:r>
      <w:r w:rsidRPr="00F7115D">
        <w:rPr>
          <w:b/>
          <w:sz w:val="21"/>
          <w:szCs w:val="21"/>
        </w:rPr>
        <w:t>?</w:t>
      </w:r>
    </w:p>
    <w:p w14:paraId="700E9CD9" w14:textId="77777777" w:rsidR="00F74E8C" w:rsidRPr="00F7115D" w:rsidRDefault="00F74E8C" w:rsidP="00F74E8C">
      <w:pPr>
        <w:pStyle w:val="NoSpacing"/>
        <w:numPr>
          <w:ilvl w:val="0"/>
          <w:numId w:val="29"/>
        </w:numPr>
        <w:rPr>
          <w:sz w:val="21"/>
          <w:szCs w:val="21"/>
        </w:rPr>
      </w:pPr>
      <w:r w:rsidRPr="00F7115D">
        <w:rPr>
          <w:sz w:val="21"/>
          <w:szCs w:val="21"/>
        </w:rPr>
        <w:t>Defining science is not an easy task.</w:t>
      </w:r>
    </w:p>
    <w:p w14:paraId="7BA42A2D" w14:textId="77777777" w:rsidR="00F74E8C" w:rsidRPr="00F7115D" w:rsidRDefault="00F74E8C" w:rsidP="00F74E8C">
      <w:pPr>
        <w:pStyle w:val="NoSpacing"/>
        <w:numPr>
          <w:ilvl w:val="0"/>
          <w:numId w:val="29"/>
        </w:numPr>
        <w:rPr>
          <w:sz w:val="21"/>
          <w:szCs w:val="21"/>
        </w:rPr>
      </w:pPr>
      <w:r w:rsidRPr="00F7115D">
        <w:rPr>
          <w:sz w:val="21"/>
          <w:szCs w:val="21"/>
        </w:rPr>
        <w:t>“All a scientist needs to hold is premises like “every event has a cause” and “the observable universe operates in an orderly way.”</w:t>
      </w:r>
    </w:p>
    <w:p w14:paraId="63F2F3CF" w14:textId="77777777" w:rsidR="00F74E8C" w:rsidRPr="00F7115D" w:rsidRDefault="00F74E8C" w:rsidP="00F74E8C">
      <w:pPr>
        <w:pStyle w:val="NoSpacing"/>
        <w:numPr>
          <w:ilvl w:val="0"/>
          <w:numId w:val="29"/>
        </w:numPr>
        <w:rPr>
          <w:sz w:val="21"/>
          <w:szCs w:val="21"/>
        </w:rPr>
      </w:pPr>
      <w:r w:rsidRPr="00F7115D">
        <w:rPr>
          <w:sz w:val="21"/>
          <w:szCs w:val="21"/>
        </w:rPr>
        <w:t>Science has bounds – operates on the repeatable. Doesn’t pronounce on history for instance.</w:t>
      </w:r>
    </w:p>
    <w:p w14:paraId="4FDF7678" w14:textId="77777777" w:rsidR="00371B10" w:rsidRDefault="00371B10" w:rsidP="00371B10">
      <w:pPr>
        <w:pStyle w:val="NoSpacing"/>
        <w:rPr>
          <w:b/>
          <w:sz w:val="21"/>
          <w:szCs w:val="21"/>
        </w:rPr>
      </w:pPr>
    </w:p>
    <w:p w14:paraId="1B1975E2" w14:textId="55AC5902" w:rsidR="00EB6EE7" w:rsidRPr="00371B10" w:rsidRDefault="00371B10" w:rsidP="00371B10">
      <w:pPr>
        <w:pStyle w:val="NoSpacing"/>
        <w:rPr>
          <w:b/>
          <w:sz w:val="21"/>
          <w:szCs w:val="21"/>
        </w:rPr>
      </w:pPr>
      <w:r w:rsidRPr="00371B10">
        <w:rPr>
          <w:b/>
          <w:sz w:val="21"/>
          <w:szCs w:val="21"/>
        </w:rPr>
        <w:t>Bibliography</w:t>
      </w:r>
    </w:p>
    <w:p w14:paraId="0CCE21D5" w14:textId="77777777" w:rsidR="00A74ED7" w:rsidRPr="009C1DB8" w:rsidRDefault="00A74ED7" w:rsidP="00A74ED7">
      <w:pPr>
        <w:pStyle w:val="BibliographyEntry"/>
      </w:pPr>
      <w:bookmarkStart w:id="0" w:name="_Hlk509232018"/>
      <w:r w:rsidRPr="009C1DB8">
        <w:lastRenderedPageBreak/>
        <w:t xml:space="preserve">Adams, Samuel V. </w:t>
      </w:r>
      <w:r w:rsidRPr="009C1DB8">
        <w:rPr>
          <w:i/>
        </w:rPr>
        <w:t xml:space="preserve">The Reality of God and Historical Method: Apocalyptic Theology in Conversation with N. T. Wright. </w:t>
      </w:r>
      <w:r w:rsidRPr="009C1DB8">
        <w:t>Downers Grove</w:t>
      </w:r>
      <w:r>
        <w:t>, IL</w:t>
      </w:r>
      <w:r w:rsidRPr="009C1DB8">
        <w:t xml:space="preserve">: </w:t>
      </w:r>
      <w:r>
        <w:t>InterVarsity Press</w:t>
      </w:r>
      <w:r w:rsidRPr="009C1DB8">
        <w:t xml:space="preserve">, 2015. </w:t>
      </w:r>
    </w:p>
    <w:p w14:paraId="7CCDF3EE" w14:textId="77777777" w:rsidR="004B4BF1" w:rsidRPr="009C1DB8" w:rsidRDefault="004B4BF1" w:rsidP="004B4BF1">
      <w:pPr>
        <w:pStyle w:val="BibliographyEntry"/>
      </w:pPr>
      <w:r w:rsidRPr="009C1DB8">
        <w:t xml:space="preserve">Atkinson, R. F. “Methodology: History and Its Philosophy.” In </w:t>
      </w:r>
      <w:r w:rsidRPr="009C1DB8">
        <w:rPr>
          <w:i/>
        </w:rPr>
        <w:t xml:space="preserve">Objectivity, Method and Point of View: Essays in the Philosophy of History, </w:t>
      </w:r>
      <w:r w:rsidRPr="009C1DB8">
        <w:t xml:space="preserve">edited by W. J. van der </w:t>
      </w:r>
      <w:proofErr w:type="spellStart"/>
      <w:r w:rsidRPr="009C1DB8">
        <w:t>Dussen</w:t>
      </w:r>
      <w:proofErr w:type="spellEnd"/>
      <w:r>
        <w:t>,</w:t>
      </w:r>
      <w:r w:rsidRPr="009C1DB8">
        <w:t xml:space="preserve"> and Lionel Rubinoff, 1</w:t>
      </w:r>
      <w:r>
        <w:t>2–</w:t>
      </w:r>
      <w:r w:rsidRPr="009C1DB8">
        <w:t xml:space="preserve">21. Leiden: E. J. Brill, 1991. </w:t>
      </w:r>
    </w:p>
    <w:p w14:paraId="7CEFB435" w14:textId="77777777" w:rsidR="00B23EE2" w:rsidRDefault="00B23EE2" w:rsidP="00B23EE2">
      <w:pPr>
        <w:pStyle w:val="BibliographyEntry"/>
      </w:pPr>
      <w:r w:rsidRPr="00A329B3">
        <w:t>Barton,</w:t>
      </w:r>
      <w:r>
        <w:t xml:space="preserve"> </w:t>
      </w:r>
      <w:r w:rsidRPr="00A329B3">
        <w:t>John</w:t>
      </w:r>
      <w:r>
        <w:t>.</w:t>
      </w:r>
      <w:r w:rsidRPr="00A329B3">
        <w:t xml:space="preserve"> “Historical-</w:t>
      </w:r>
      <w:r>
        <w:t>C</w:t>
      </w:r>
      <w:r w:rsidRPr="00A329B3">
        <w:t xml:space="preserve">ritical </w:t>
      </w:r>
      <w:r>
        <w:t>A</w:t>
      </w:r>
      <w:r w:rsidRPr="00A329B3">
        <w:t>pproaches</w:t>
      </w:r>
      <w:r>
        <w:t>.</w:t>
      </w:r>
      <w:r w:rsidRPr="00A329B3">
        <w:t xml:space="preserve">” </w:t>
      </w:r>
      <w:r>
        <w:t>I</w:t>
      </w:r>
      <w:r w:rsidRPr="00A329B3">
        <w:t xml:space="preserve">n </w:t>
      </w:r>
      <w:proofErr w:type="gramStart"/>
      <w:r w:rsidRPr="00A329B3">
        <w:rPr>
          <w:i/>
          <w:iCs/>
        </w:rPr>
        <w:t>The</w:t>
      </w:r>
      <w:proofErr w:type="gramEnd"/>
      <w:r w:rsidRPr="00A329B3">
        <w:rPr>
          <w:i/>
          <w:iCs/>
        </w:rPr>
        <w:t xml:space="preserve"> Cambridge Companion to Biblical Interpretation</w:t>
      </w:r>
      <w:r w:rsidRPr="00A329B3">
        <w:t>, ed</w:t>
      </w:r>
      <w:r>
        <w:t xml:space="preserve">ited by </w:t>
      </w:r>
      <w:r w:rsidRPr="00A329B3">
        <w:t>John Barton</w:t>
      </w:r>
      <w:r>
        <w:t>,</w:t>
      </w:r>
      <w:r w:rsidRPr="00A329B3">
        <w:t xml:space="preserve"> 9–20</w:t>
      </w:r>
      <w:r>
        <w:t xml:space="preserve">. </w:t>
      </w:r>
      <w:r w:rsidRPr="00A329B3">
        <w:t>Cambridge: C</w:t>
      </w:r>
      <w:r>
        <w:t>ambridge University Press</w:t>
      </w:r>
      <w:r w:rsidRPr="00A329B3">
        <w:t>, 1998.</w:t>
      </w:r>
    </w:p>
    <w:p w14:paraId="131F2D78"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Brooke, John Hedley. “Historical Perspective on Religion and Science.” In </w:t>
      </w:r>
      <w:proofErr w:type="gramStart"/>
      <w:r w:rsidRPr="00111C04">
        <w:rPr>
          <w:rFonts w:ascii="Arial" w:hAnsi="Arial" w:cs="Arial"/>
          <w:i/>
          <w:iCs/>
          <w:sz w:val="21"/>
          <w:szCs w:val="21"/>
        </w:rPr>
        <w:t>The</w:t>
      </w:r>
      <w:proofErr w:type="gramEnd"/>
      <w:r w:rsidRPr="00111C04">
        <w:rPr>
          <w:rFonts w:ascii="Arial" w:hAnsi="Arial" w:cs="Arial"/>
          <w:i/>
          <w:iCs/>
          <w:sz w:val="21"/>
          <w:szCs w:val="21"/>
        </w:rPr>
        <w:t xml:space="preserve"> Oxford Handbook of Philosophical Theology</w:t>
      </w:r>
      <w:r w:rsidRPr="00111C04">
        <w:rPr>
          <w:rFonts w:ascii="Arial" w:hAnsi="Arial" w:cs="Arial"/>
          <w:sz w:val="21"/>
          <w:szCs w:val="21"/>
        </w:rPr>
        <w:t>, edited by Thomas P. Flint, and Michael C. Rea. New York, NY: Oxford University Press, 2009, 529-538.</w:t>
      </w:r>
    </w:p>
    <w:p w14:paraId="54F87E96" w14:textId="77777777" w:rsidR="003D2F17" w:rsidRDefault="003D2F17" w:rsidP="003D2F17">
      <w:pPr>
        <w:pStyle w:val="BibliographyEntry"/>
      </w:pPr>
      <w:r>
        <w:t xml:space="preserve">Burke, Peter. “History as Social Memory.” In </w:t>
      </w:r>
      <w:r w:rsidRPr="00AA579F">
        <w:rPr>
          <w:i/>
          <w:iCs/>
        </w:rPr>
        <w:t xml:space="preserve">Memory: History, </w:t>
      </w:r>
      <w:proofErr w:type="gramStart"/>
      <w:r w:rsidRPr="00AA579F">
        <w:rPr>
          <w:i/>
          <w:iCs/>
        </w:rPr>
        <w:t>Culture</w:t>
      </w:r>
      <w:proofErr w:type="gramEnd"/>
      <w:r w:rsidRPr="00AA579F">
        <w:rPr>
          <w:i/>
          <w:iCs/>
        </w:rPr>
        <w:t xml:space="preserve"> and the Mind</w:t>
      </w:r>
      <w:r>
        <w:t>, edited by Thomas Butler, 97–114. Oxford: Blackwell, 1989.</w:t>
      </w:r>
    </w:p>
    <w:p w14:paraId="7143E6C1" w14:textId="6D7E3FA2" w:rsidR="003D2F17" w:rsidRPr="003D2F17" w:rsidRDefault="003D2F17" w:rsidP="003D2F17">
      <w:pPr>
        <w:pStyle w:val="BibliographyEntry"/>
      </w:pPr>
      <w:r w:rsidRPr="00932E17">
        <w:t xml:space="preserve">Burke, Peter. </w:t>
      </w:r>
      <w:r w:rsidRPr="00932E17">
        <w:rPr>
          <w:i/>
        </w:rPr>
        <w:t>Varieties of Cultural History</w:t>
      </w:r>
      <w:r w:rsidRPr="00932E17">
        <w:t>. Ithaca, NY: Cornell University Press</w:t>
      </w:r>
      <w:r>
        <w:t xml:space="preserve">, </w:t>
      </w:r>
      <w:r w:rsidRPr="00932E17">
        <w:t xml:space="preserve">1997. </w:t>
      </w:r>
    </w:p>
    <w:p w14:paraId="2E201CE7" w14:textId="619376DD"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Burke, Peter (ed.). </w:t>
      </w:r>
      <w:r w:rsidRPr="00111C04">
        <w:rPr>
          <w:rFonts w:ascii="Arial" w:hAnsi="Arial" w:cs="Arial"/>
          <w:i/>
          <w:sz w:val="21"/>
          <w:szCs w:val="21"/>
        </w:rPr>
        <w:t>History and Historians in the Twentieth Century</w:t>
      </w:r>
      <w:r w:rsidRPr="00111C04">
        <w:rPr>
          <w:rFonts w:ascii="Arial" w:hAnsi="Arial" w:cs="Arial"/>
          <w:sz w:val="21"/>
          <w:szCs w:val="21"/>
        </w:rPr>
        <w:t>. Oxford: British Academy by Oxford University Press, 2002.</w:t>
      </w:r>
    </w:p>
    <w:p w14:paraId="32E11F0B" w14:textId="1C729DE9" w:rsidR="00713304" w:rsidRPr="00713304" w:rsidRDefault="00713304" w:rsidP="00713304">
      <w:pPr>
        <w:pStyle w:val="BibliographyEntry"/>
      </w:pPr>
      <w:r w:rsidRPr="009F71DA">
        <w:t xml:space="preserve">Carrier, Richard C. </w:t>
      </w:r>
      <w:r w:rsidRPr="009F71DA">
        <w:rPr>
          <w:i/>
        </w:rPr>
        <w:t xml:space="preserve">Proving History: </w:t>
      </w:r>
      <w:proofErr w:type="spellStart"/>
      <w:r w:rsidRPr="009F71DA">
        <w:rPr>
          <w:i/>
        </w:rPr>
        <w:t>Bayes</w:t>
      </w:r>
      <w:r>
        <w:rPr>
          <w:i/>
        </w:rPr>
        <w:t>’</w:t>
      </w:r>
      <w:r w:rsidRPr="009F71DA">
        <w:rPr>
          <w:i/>
        </w:rPr>
        <w:t>s</w:t>
      </w:r>
      <w:proofErr w:type="spellEnd"/>
      <w:r w:rsidRPr="009F71DA">
        <w:rPr>
          <w:i/>
        </w:rPr>
        <w:t xml:space="preserve"> Theorem and the Quest for the Historical Jesus</w:t>
      </w:r>
      <w:r w:rsidRPr="009F71DA">
        <w:t>. Amherst, NY: Prometheus Books, 2014.</w:t>
      </w:r>
    </w:p>
    <w:p w14:paraId="21018843" w14:textId="696DC310" w:rsidR="00371B10" w:rsidRPr="00111C04" w:rsidRDefault="00371B10" w:rsidP="00111C04">
      <w:pPr>
        <w:pStyle w:val="BibliographyEntry"/>
        <w:ind w:left="851"/>
        <w:rPr>
          <w:rFonts w:ascii="Arial" w:hAnsi="Arial" w:cs="Arial"/>
          <w:i/>
          <w:iCs/>
          <w:sz w:val="21"/>
          <w:szCs w:val="21"/>
        </w:rPr>
      </w:pPr>
      <w:r w:rsidRPr="00111C04">
        <w:rPr>
          <w:rFonts w:ascii="Arial" w:hAnsi="Arial" w:cs="Arial"/>
          <w:sz w:val="21"/>
          <w:szCs w:val="21"/>
        </w:rPr>
        <w:t xml:space="preserve">Clark, Elizabeth A. </w:t>
      </w:r>
      <w:r w:rsidRPr="00111C04">
        <w:rPr>
          <w:rFonts w:ascii="Arial" w:hAnsi="Arial" w:cs="Arial"/>
          <w:i/>
          <w:sz w:val="21"/>
          <w:szCs w:val="21"/>
        </w:rPr>
        <w:t>History, Theory, Text: Historians and the Linguistic Turn</w:t>
      </w:r>
      <w:r w:rsidRPr="00111C04">
        <w:rPr>
          <w:rFonts w:ascii="Arial" w:hAnsi="Arial" w:cs="Arial"/>
          <w:sz w:val="21"/>
          <w:szCs w:val="21"/>
        </w:rPr>
        <w:t>. Cambridge, MA: Harvard University Press, 2004.</w:t>
      </w:r>
    </w:p>
    <w:p w14:paraId="2330AD7E" w14:textId="77777777" w:rsidR="00707ACA" w:rsidRPr="009C1DB8" w:rsidRDefault="00707ACA" w:rsidP="00707ACA">
      <w:pPr>
        <w:pStyle w:val="BibliographyEntry"/>
      </w:pPr>
      <w:r w:rsidRPr="009C1DB8">
        <w:t xml:space="preserve">Collingwood, R. G. </w:t>
      </w:r>
      <w:r w:rsidRPr="009C1DB8">
        <w:rPr>
          <w:i/>
        </w:rPr>
        <w:t xml:space="preserve">The Idea of History. </w:t>
      </w:r>
      <w:r w:rsidRPr="009C1DB8">
        <w:t xml:space="preserve">London: Oxford University Press, 1976. </w:t>
      </w:r>
    </w:p>
    <w:p w14:paraId="0A04BAD1" w14:textId="243A651F" w:rsidR="00C6201F" w:rsidRPr="00C6201F" w:rsidRDefault="00C6201F" w:rsidP="00C6201F">
      <w:pPr>
        <w:pStyle w:val="BibliographyEntry"/>
      </w:pPr>
      <w:proofErr w:type="spellStart"/>
      <w:r w:rsidRPr="003B569C">
        <w:t>Confino</w:t>
      </w:r>
      <w:proofErr w:type="spellEnd"/>
      <w:r w:rsidRPr="003B569C">
        <w:t xml:space="preserve">, Alon. </w:t>
      </w:r>
      <w:r>
        <w:t>“</w:t>
      </w:r>
      <w:r w:rsidRPr="003B569C">
        <w:t>Collective Memory and Cultural History: Problems of Method.</w:t>
      </w:r>
      <w:r>
        <w:t>”</w:t>
      </w:r>
      <w:r w:rsidRPr="003B569C">
        <w:t xml:space="preserve"> </w:t>
      </w:r>
      <w:r w:rsidRPr="003B569C">
        <w:rPr>
          <w:i/>
          <w:iCs/>
        </w:rPr>
        <w:t>The American Historical Review</w:t>
      </w:r>
      <w:r w:rsidRPr="003B569C">
        <w:t xml:space="preserve"> 102, no. 5 (1997): 1386</w:t>
      </w:r>
      <w:r>
        <w:t>–1</w:t>
      </w:r>
      <w:r w:rsidRPr="003B569C">
        <w:t>403. doi:10.2307/2171069</w:t>
      </w:r>
    </w:p>
    <w:p w14:paraId="4031811F" w14:textId="77777777" w:rsidR="0079159B" w:rsidRDefault="0079159B" w:rsidP="0079159B">
      <w:pPr>
        <w:pStyle w:val="BibliographyEntry"/>
      </w:pPr>
      <w:r>
        <w:t xml:space="preserve">Cook, Albert. </w:t>
      </w:r>
      <w:r w:rsidRPr="00F66EC3">
        <w:rPr>
          <w:i/>
        </w:rPr>
        <w:t>History/Writing: The Theory and Practice of History in Antiquity and in Modern Times</w:t>
      </w:r>
      <w:r>
        <w:t>. Cambridge: Cambridge University Press, 1988.</w:t>
      </w:r>
    </w:p>
    <w:p w14:paraId="319D0D46" w14:textId="77777777" w:rsidR="00674B60" w:rsidRDefault="00674B60" w:rsidP="00674B60">
      <w:pPr>
        <w:pStyle w:val="BibliographyEntry"/>
      </w:pPr>
      <w:r w:rsidRPr="00D06FB1">
        <w:t>Copleston, Frederick</w:t>
      </w:r>
      <w:r>
        <w:t xml:space="preserve"> Charles. </w:t>
      </w:r>
      <w:r w:rsidRPr="00746FCA">
        <w:rPr>
          <w:i/>
          <w:iCs/>
        </w:rPr>
        <w:t>On the History of Philosophy</w:t>
      </w:r>
      <w:r>
        <w:rPr>
          <w:i/>
          <w:iCs/>
        </w:rPr>
        <w:t xml:space="preserve"> and Other Essays</w:t>
      </w:r>
      <w:r>
        <w:t xml:space="preserve">. </w:t>
      </w:r>
      <w:r w:rsidRPr="00D06FB1">
        <w:t>London: Search Press, 1979</w:t>
      </w:r>
      <w:r>
        <w:t>.</w:t>
      </w:r>
    </w:p>
    <w:p w14:paraId="1A6B6CBA" w14:textId="77777777" w:rsidR="00674B60" w:rsidRDefault="00674B60" w:rsidP="00674B60">
      <w:pPr>
        <w:pStyle w:val="BibliographyEntry"/>
      </w:pPr>
      <w:r w:rsidRPr="00C2367F">
        <w:t xml:space="preserve">Cubitt, Geoffrey. </w:t>
      </w:r>
      <w:r w:rsidRPr="006F3CE8">
        <w:rPr>
          <w:i/>
        </w:rPr>
        <w:t xml:space="preserve">History and </w:t>
      </w:r>
      <w:r>
        <w:rPr>
          <w:i/>
        </w:rPr>
        <w:t>M</w:t>
      </w:r>
      <w:r w:rsidRPr="006F3CE8">
        <w:rPr>
          <w:i/>
        </w:rPr>
        <w:t>emory</w:t>
      </w:r>
      <w:r w:rsidRPr="00C2367F">
        <w:t>. New York, NY: Manchester University Press</w:t>
      </w:r>
      <w:r>
        <w:t xml:space="preserve">, </w:t>
      </w:r>
      <w:r w:rsidRPr="00C2367F">
        <w:t>2007</w:t>
      </w:r>
      <w:r>
        <w:t>.</w:t>
      </w:r>
    </w:p>
    <w:p w14:paraId="52D52A9C" w14:textId="003B9D0D"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Davies, Stephen. </w:t>
      </w:r>
      <w:r w:rsidRPr="00111C04">
        <w:rPr>
          <w:rFonts w:ascii="Arial" w:hAnsi="Arial" w:cs="Arial"/>
          <w:i/>
          <w:sz w:val="21"/>
          <w:szCs w:val="21"/>
        </w:rPr>
        <w:t>Empiricism and History</w:t>
      </w:r>
      <w:r w:rsidRPr="00111C04">
        <w:rPr>
          <w:rFonts w:ascii="Arial" w:hAnsi="Arial" w:cs="Arial"/>
          <w:sz w:val="21"/>
          <w:szCs w:val="21"/>
        </w:rPr>
        <w:t>. New York, NY: Palgrave, 2003.</w:t>
      </w:r>
    </w:p>
    <w:p w14:paraId="554BFD31" w14:textId="77777777" w:rsidR="00674B60" w:rsidRDefault="00674B60" w:rsidP="00674B60">
      <w:pPr>
        <w:pStyle w:val="BibliographyEntry"/>
      </w:pPr>
      <w:proofErr w:type="spellStart"/>
      <w:r w:rsidRPr="001B6406">
        <w:t>D</w:t>
      </w:r>
      <w:r>
        <w:t>onagan</w:t>
      </w:r>
      <w:proofErr w:type="spellEnd"/>
      <w:r w:rsidRPr="001B6406">
        <w:t>, A</w:t>
      </w:r>
      <w:r>
        <w:t>lan</w:t>
      </w:r>
      <w:r w:rsidRPr="001B6406">
        <w:t xml:space="preserve">. </w:t>
      </w:r>
      <w:r>
        <w:t>“</w:t>
      </w:r>
      <w:r w:rsidRPr="001B6406">
        <w:t>R</w:t>
      </w:r>
      <w:r>
        <w:t>ealism and Historical Instrumentalism</w:t>
      </w:r>
      <w:r w:rsidRPr="001B6406">
        <w:t>.</w:t>
      </w:r>
      <w:r>
        <w:t>”</w:t>
      </w:r>
      <w:r w:rsidRPr="001B6406">
        <w:t xml:space="preserve"> </w:t>
      </w:r>
      <w:r w:rsidRPr="00CD119E">
        <w:rPr>
          <w:i/>
          <w:iCs/>
        </w:rPr>
        <w:t xml:space="preserve">Revue </w:t>
      </w:r>
      <w:proofErr w:type="spellStart"/>
      <w:r w:rsidRPr="00CD119E">
        <w:rPr>
          <w:i/>
          <w:iCs/>
        </w:rPr>
        <w:t>Internationale</w:t>
      </w:r>
      <w:proofErr w:type="spellEnd"/>
      <w:r w:rsidRPr="00CD119E">
        <w:rPr>
          <w:i/>
          <w:iCs/>
        </w:rPr>
        <w:t xml:space="preserve"> De Philosophie</w:t>
      </w:r>
      <w:r w:rsidRPr="001B6406">
        <w:t xml:space="preserve"> 29, no. 111/112 (1/2) (1975): 78</w:t>
      </w:r>
      <w:r>
        <w:t>–</w:t>
      </w:r>
      <w:r w:rsidRPr="001B6406">
        <w:t>89. http://www.jstor.org/stable/23943097</w:t>
      </w:r>
    </w:p>
    <w:p w14:paraId="56D08C52"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Evans, C. Stephen. “Methodological Naturalism in Historical Biblical Scholarship.” In Jesus &amp; the Restoration of Israel: A Critical Assessment of N. T. Wright’s Jesus and the Victory of God, edited by Carey C. Newman. Downers Grove: InterVarsity Press, 1999.</w:t>
      </w:r>
    </w:p>
    <w:p w14:paraId="19A403FA" w14:textId="77777777" w:rsidR="00371B10" w:rsidRPr="00111C04" w:rsidRDefault="00371B10" w:rsidP="00111C04">
      <w:pPr>
        <w:pStyle w:val="BibliographyEntry"/>
        <w:ind w:left="851"/>
        <w:rPr>
          <w:rFonts w:ascii="Arial" w:hAnsi="Arial" w:cs="Arial"/>
          <w:sz w:val="21"/>
          <w:szCs w:val="21"/>
        </w:rPr>
      </w:pPr>
      <w:bookmarkStart w:id="1" w:name="_Hlk509232043"/>
      <w:bookmarkEnd w:id="0"/>
      <w:r w:rsidRPr="00111C04">
        <w:rPr>
          <w:rFonts w:ascii="Arial" w:hAnsi="Arial" w:cs="Arial"/>
          <w:sz w:val="21"/>
          <w:szCs w:val="21"/>
        </w:rPr>
        <w:t xml:space="preserve">Evans, Richard J. </w:t>
      </w:r>
      <w:r w:rsidRPr="00111C04">
        <w:rPr>
          <w:rFonts w:ascii="Arial" w:hAnsi="Arial" w:cs="Arial"/>
          <w:i/>
          <w:sz w:val="21"/>
          <w:szCs w:val="21"/>
        </w:rPr>
        <w:t xml:space="preserve">In </w:t>
      </w:r>
      <w:proofErr w:type="spellStart"/>
      <w:r w:rsidRPr="00111C04">
        <w:rPr>
          <w:rFonts w:ascii="Arial" w:hAnsi="Arial" w:cs="Arial"/>
          <w:i/>
          <w:sz w:val="21"/>
          <w:szCs w:val="21"/>
        </w:rPr>
        <w:t>Defence</w:t>
      </w:r>
      <w:proofErr w:type="spellEnd"/>
      <w:r w:rsidRPr="00111C04">
        <w:rPr>
          <w:rFonts w:ascii="Arial" w:hAnsi="Arial" w:cs="Arial"/>
          <w:i/>
          <w:sz w:val="21"/>
          <w:szCs w:val="21"/>
        </w:rPr>
        <w:t xml:space="preserve"> of History</w:t>
      </w:r>
      <w:r w:rsidRPr="00111C04">
        <w:rPr>
          <w:rFonts w:ascii="Arial" w:hAnsi="Arial" w:cs="Arial"/>
          <w:sz w:val="21"/>
          <w:szCs w:val="21"/>
        </w:rPr>
        <w:t xml:space="preserve">. London, UK: </w:t>
      </w:r>
      <w:proofErr w:type="spellStart"/>
      <w:r w:rsidRPr="00111C04">
        <w:rPr>
          <w:rFonts w:ascii="Arial" w:hAnsi="Arial" w:cs="Arial"/>
          <w:sz w:val="21"/>
          <w:szCs w:val="21"/>
        </w:rPr>
        <w:t>Granta</w:t>
      </w:r>
      <w:proofErr w:type="spellEnd"/>
      <w:r w:rsidRPr="00111C04">
        <w:rPr>
          <w:rFonts w:ascii="Arial" w:hAnsi="Arial" w:cs="Arial"/>
          <w:sz w:val="21"/>
          <w:szCs w:val="21"/>
        </w:rPr>
        <w:t xml:space="preserve"> Books, 1997.</w:t>
      </w:r>
    </w:p>
    <w:p w14:paraId="514C82BB" w14:textId="77777777" w:rsidR="00674B60" w:rsidRDefault="00674B60" w:rsidP="00674B60">
      <w:pPr>
        <w:pStyle w:val="BibliographyEntry"/>
      </w:pPr>
      <w:r w:rsidRPr="009B602C">
        <w:lastRenderedPageBreak/>
        <w:t xml:space="preserve">Fay, Brian. </w:t>
      </w:r>
      <w:r>
        <w:t>“</w:t>
      </w:r>
      <w:r w:rsidRPr="009B602C">
        <w:t>Nothing but History?</w:t>
      </w:r>
      <w:r>
        <w:t>”</w:t>
      </w:r>
      <w:r w:rsidRPr="009B602C">
        <w:t xml:space="preserve"> </w:t>
      </w:r>
      <w:r w:rsidRPr="009B602C">
        <w:rPr>
          <w:i/>
          <w:iCs/>
        </w:rPr>
        <w:t>History and Theory</w:t>
      </w:r>
      <w:r w:rsidRPr="009B602C">
        <w:t xml:space="preserve"> 37</w:t>
      </w:r>
      <w:r>
        <w:t xml:space="preserve">, no. 1 </w:t>
      </w:r>
      <w:r w:rsidRPr="009B602C">
        <w:t xml:space="preserve">(1998): 83–93. </w:t>
      </w:r>
      <w:r w:rsidRPr="00DF2E40">
        <w:t>https://doi.org/10.1111/1468-2303.00039</w:t>
      </w:r>
    </w:p>
    <w:p w14:paraId="1BB1FB17" w14:textId="77777777" w:rsidR="00D26AF7" w:rsidRDefault="00D26AF7" w:rsidP="00D26AF7">
      <w:pPr>
        <w:pStyle w:val="BibliographyEntry"/>
      </w:pPr>
      <w:r w:rsidRPr="009C1DB8">
        <w:t xml:space="preserve">Finley, M. I. </w:t>
      </w:r>
      <w:r w:rsidRPr="009C1DB8">
        <w:rPr>
          <w:i/>
        </w:rPr>
        <w:t xml:space="preserve">Ancient History: Evidence and Models. </w:t>
      </w:r>
      <w:r w:rsidRPr="009C1DB8">
        <w:t xml:space="preserve">London: Penguin Books, 1985. </w:t>
      </w:r>
    </w:p>
    <w:p w14:paraId="15FA6FCF" w14:textId="77777777" w:rsidR="00D26AF7" w:rsidRPr="009C1DB8" w:rsidRDefault="00D26AF7" w:rsidP="00D26AF7">
      <w:pPr>
        <w:pStyle w:val="BibliographyEntry"/>
      </w:pPr>
      <w:r w:rsidRPr="005505BB">
        <w:t xml:space="preserve">Finley, M. I. </w:t>
      </w:r>
      <w:r>
        <w:t>“</w:t>
      </w:r>
      <w:r w:rsidRPr="005505BB">
        <w:t>Myth, Memory, and History.</w:t>
      </w:r>
      <w:r>
        <w:t>”</w:t>
      </w:r>
      <w:r w:rsidRPr="005505BB">
        <w:t xml:space="preserve"> </w:t>
      </w:r>
      <w:r w:rsidRPr="005505BB">
        <w:rPr>
          <w:i/>
          <w:iCs/>
        </w:rPr>
        <w:t>History and Theory</w:t>
      </w:r>
      <w:r w:rsidRPr="005505BB">
        <w:t xml:space="preserve"> 4, no. 3 (1965): 281</w:t>
      </w:r>
      <w:r>
        <w:t>–</w:t>
      </w:r>
      <w:r w:rsidRPr="005505BB">
        <w:t>302. doi:10.2307/2504346</w:t>
      </w:r>
    </w:p>
    <w:p w14:paraId="6F1245A1" w14:textId="77777777" w:rsidR="00693403" w:rsidRDefault="00693403" w:rsidP="00693403">
      <w:pPr>
        <w:pStyle w:val="BibliographyEntry"/>
      </w:pPr>
      <w:proofErr w:type="spellStart"/>
      <w:r>
        <w:t>Fornara</w:t>
      </w:r>
      <w:proofErr w:type="spellEnd"/>
      <w:r>
        <w:t xml:space="preserve">, Charles W. </w:t>
      </w:r>
      <w:r w:rsidRPr="006064D7">
        <w:rPr>
          <w:i/>
        </w:rPr>
        <w:t>The Nature of History in Ancient Greece and Rome</w:t>
      </w:r>
      <w:r>
        <w:t>. Berkeley, CA: University of California Press, 1983.</w:t>
      </w:r>
    </w:p>
    <w:p w14:paraId="44394DA9" w14:textId="77777777" w:rsidR="00371B10" w:rsidRPr="00111C04" w:rsidRDefault="00371B10" w:rsidP="00111C04">
      <w:pPr>
        <w:pStyle w:val="BibliographyEntry"/>
        <w:ind w:left="851"/>
        <w:rPr>
          <w:rFonts w:ascii="Arial" w:hAnsi="Arial" w:cs="Arial"/>
          <w:sz w:val="21"/>
          <w:szCs w:val="21"/>
        </w:rPr>
      </w:pPr>
      <w:proofErr w:type="spellStart"/>
      <w:r w:rsidRPr="00111C04">
        <w:rPr>
          <w:rFonts w:ascii="Arial" w:hAnsi="Arial" w:cs="Arial"/>
          <w:sz w:val="21"/>
          <w:szCs w:val="21"/>
        </w:rPr>
        <w:t>Førland</w:t>
      </w:r>
      <w:proofErr w:type="spellEnd"/>
      <w:r w:rsidRPr="00111C04">
        <w:rPr>
          <w:rFonts w:ascii="Arial" w:hAnsi="Arial" w:cs="Arial"/>
          <w:sz w:val="21"/>
          <w:szCs w:val="21"/>
        </w:rPr>
        <w:t xml:space="preserve">, Tor </w:t>
      </w:r>
      <w:proofErr w:type="spellStart"/>
      <w:r w:rsidRPr="00111C04">
        <w:rPr>
          <w:rFonts w:ascii="Arial" w:hAnsi="Arial" w:cs="Arial"/>
          <w:sz w:val="21"/>
          <w:szCs w:val="21"/>
        </w:rPr>
        <w:t>Egil</w:t>
      </w:r>
      <w:proofErr w:type="spellEnd"/>
      <w:r w:rsidRPr="00111C04">
        <w:rPr>
          <w:rFonts w:ascii="Arial" w:hAnsi="Arial" w:cs="Arial"/>
          <w:sz w:val="21"/>
          <w:szCs w:val="21"/>
        </w:rPr>
        <w:t xml:space="preserve">. Values, </w:t>
      </w:r>
      <w:r w:rsidRPr="00111C04">
        <w:rPr>
          <w:rFonts w:ascii="Arial" w:hAnsi="Arial" w:cs="Arial"/>
          <w:i/>
          <w:sz w:val="21"/>
          <w:szCs w:val="21"/>
        </w:rPr>
        <w:t>Objectivity, and Explanation in Historiography</w:t>
      </w:r>
      <w:r w:rsidRPr="00111C04">
        <w:rPr>
          <w:rFonts w:ascii="Arial" w:hAnsi="Arial" w:cs="Arial"/>
          <w:sz w:val="21"/>
          <w:szCs w:val="21"/>
        </w:rPr>
        <w:t>. Milton: Taylor and Francis, 2017.</w:t>
      </w:r>
    </w:p>
    <w:p w14:paraId="5C53552E" w14:textId="77777777" w:rsidR="00693403" w:rsidRDefault="00693403" w:rsidP="00693403">
      <w:pPr>
        <w:pStyle w:val="BibliographyEntry"/>
      </w:pPr>
      <w:proofErr w:type="spellStart"/>
      <w:r w:rsidRPr="002649DE">
        <w:t>Furay</w:t>
      </w:r>
      <w:proofErr w:type="spellEnd"/>
      <w:r w:rsidRPr="002649DE">
        <w:t xml:space="preserve">, </w:t>
      </w:r>
      <w:proofErr w:type="spellStart"/>
      <w:r w:rsidRPr="002649DE">
        <w:t>Conal</w:t>
      </w:r>
      <w:proofErr w:type="spellEnd"/>
      <w:r w:rsidRPr="002649DE">
        <w:t xml:space="preserve">, and Michael J. </w:t>
      </w:r>
      <w:proofErr w:type="spellStart"/>
      <w:r w:rsidRPr="002649DE">
        <w:t>Salevouris</w:t>
      </w:r>
      <w:proofErr w:type="spellEnd"/>
      <w:r w:rsidRPr="002649DE">
        <w:t xml:space="preserve">. </w:t>
      </w:r>
      <w:r w:rsidRPr="002649DE">
        <w:rPr>
          <w:i/>
          <w:iCs/>
        </w:rPr>
        <w:t>The Methods and Skills of History: A Practical Guide</w:t>
      </w:r>
      <w:r>
        <w:t>.</w:t>
      </w:r>
      <w:r w:rsidRPr="002649DE">
        <w:t xml:space="preserve"> </w:t>
      </w:r>
      <w:r>
        <w:t>4</w:t>
      </w:r>
      <w:r w:rsidRPr="002649DE">
        <w:rPr>
          <w:vertAlign w:val="superscript"/>
        </w:rPr>
        <w:t>th</w:t>
      </w:r>
      <w:r>
        <w:t xml:space="preserve"> </w:t>
      </w:r>
      <w:r w:rsidRPr="002649DE">
        <w:t xml:space="preserve">ed. </w:t>
      </w:r>
      <w:r>
        <w:t>Malden, MA</w:t>
      </w:r>
      <w:r w:rsidRPr="002649DE">
        <w:t xml:space="preserve">: </w:t>
      </w:r>
      <w:r>
        <w:t>John Wiley &amp; Sons</w:t>
      </w:r>
      <w:r w:rsidRPr="002649DE">
        <w:t>, 201</w:t>
      </w:r>
      <w:r>
        <w:t>5</w:t>
      </w:r>
      <w:r w:rsidRPr="002649DE">
        <w:t>.</w:t>
      </w:r>
    </w:p>
    <w:p w14:paraId="7F61060F" w14:textId="77777777" w:rsidR="00670D7C" w:rsidRDefault="00670D7C" w:rsidP="00670D7C">
      <w:pPr>
        <w:pStyle w:val="BibliographyEntry"/>
      </w:pPr>
      <w:r>
        <w:t>Gaddis,</w:t>
      </w:r>
      <w:r w:rsidRPr="005C5E86">
        <w:t xml:space="preserve"> </w:t>
      </w:r>
      <w:r>
        <w:t xml:space="preserve">John Lewis. </w:t>
      </w:r>
      <w:r w:rsidRPr="00C653EE">
        <w:rPr>
          <w:i/>
        </w:rPr>
        <w:t>The Landscape of History. How Historians Map the Past</w:t>
      </w:r>
      <w:r>
        <w:t>. New York, NY: Oxford, 2002.</w:t>
      </w:r>
    </w:p>
    <w:p w14:paraId="557C4C19" w14:textId="77777777" w:rsidR="00B320A1" w:rsidRDefault="00B320A1" w:rsidP="00B320A1">
      <w:pPr>
        <w:pStyle w:val="BibliographyEntry"/>
      </w:pPr>
      <w:proofErr w:type="spellStart"/>
      <w:r w:rsidRPr="0037173E">
        <w:t>Garraghan</w:t>
      </w:r>
      <w:proofErr w:type="spellEnd"/>
      <w:r w:rsidRPr="0037173E">
        <w:t xml:space="preserve">, Gilbert J. </w:t>
      </w:r>
      <w:r w:rsidRPr="0037173E">
        <w:rPr>
          <w:i/>
        </w:rPr>
        <w:t>A Guide to Historical Method</w:t>
      </w:r>
      <w:r w:rsidRPr="0037173E">
        <w:t xml:space="preserve">. </w:t>
      </w:r>
      <w:r>
        <w:t>New York, NY:</w:t>
      </w:r>
      <w:r w:rsidRPr="0037173E">
        <w:t xml:space="preserve"> Fordham University Press, 1946. </w:t>
      </w:r>
    </w:p>
    <w:p w14:paraId="65651CF1" w14:textId="77777777" w:rsidR="00371B10" w:rsidRPr="00111C04" w:rsidRDefault="00371B10" w:rsidP="00111C04">
      <w:pPr>
        <w:pStyle w:val="BibliographyEntry"/>
        <w:ind w:left="851"/>
        <w:rPr>
          <w:rFonts w:ascii="Arial" w:hAnsi="Arial" w:cs="Arial"/>
          <w:sz w:val="21"/>
          <w:szCs w:val="21"/>
        </w:rPr>
      </w:pPr>
      <w:proofErr w:type="spellStart"/>
      <w:r w:rsidRPr="00111C04">
        <w:rPr>
          <w:rFonts w:ascii="Arial" w:hAnsi="Arial" w:cs="Arial"/>
          <w:sz w:val="21"/>
          <w:szCs w:val="21"/>
        </w:rPr>
        <w:t>Geivett</w:t>
      </w:r>
      <w:proofErr w:type="spellEnd"/>
      <w:r w:rsidRPr="00111C04">
        <w:rPr>
          <w:rFonts w:ascii="Arial" w:hAnsi="Arial" w:cs="Arial"/>
          <w:sz w:val="21"/>
          <w:szCs w:val="21"/>
        </w:rPr>
        <w:t xml:space="preserve">, R. Douglas, and Gary R. Habermas, ed. </w:t>
      </w:r>
      <w:r w:rsidRPr="00111C04">
        <w:rPr>
          <w:rFonts w:ascii="Arial" w:hAnsi="Arial" w:cs="Arial"/>
          <w:i/>
          <w:iCs/>
          <w:sz w:val="21"/>
          <w:szCs w:val="21"/>
        </w:rPr>
        <w:t>In Defense of Miracles: A Comprehensive Case for God's Action in History</w:t>
      </w:r>
      <w:r w:rsidRPr="00111C04">
        <w:rPr>
          <w:rFonts w:ascii="Arial" w:hAnsi="Arial" w:cs="Arial"/>
          <w:sz w:val="21"/>
          <w:szCs w:val="21"/>
        </w:rPr>
        <w:t>. Downers Grove, IL: InterVarsity Press, 1997.</w:t>
      </w:r>
    </w:p>
    <w:p w14:paraId="73142D81" w14:textId="77777777" w:rsidR="00371B10" w:rsidRPr="00111C04" w:rsidRDefault="00371B10" w:rsidP="00111C04">
      <w:pPr>
        <w:pStyle w:val="BibliographyEntry"/>
        <w:ind w:left="851"/>
        <w:rPr>
          <w:rFonts w:ascii="Arial" w:hAnsi="Arial" w:cs="Arial"/>
          <w:sz w:val="21"/>
          <w:szCs w:val="21"/>
        </w:rPr>
      </w:pPr>
      <w:proofErr w:type="spellStart"/>
      <w:r w:rsidRPr="00111C04">
        <w:rPr>
          <w:rFonts w:ascii="Arial" w:hAnsi="Arial" w:cs="Arial"/>
          <w:sz w:val="21"/>
          <w:szCs w:val="21"/>
        </w:rPr>
        <w:t>Gilderhus</w:t>
      </w:r>
      <w:proofErr w:type="spellEnd"/>
      <w:r w:rsidRPr="00111C04">
        <w:rPr>
          <w:rFonts w:ascii="Arial" w:hAnsi="Arial" w:cs="Arial"/>
          <w:sz w:val="21"/>
          <w:szCs w:val="21"/>
        </w:rPr>
        <w:t xml:space="preserve">, T. </w:t>
      </w:r>
      <w:r w:rsidRPr="00111C04">
        <w:rPr>
          <w:rFonts w:ascii="Arial" w:hAnsi="Arial" w:cs="Arial"/>
          <w:i/>
          <w:sz w:val="21"/>
          <w:szCs w:val="21"/>
        </w:rPr>
        <w:t>History and Historians: A Historiographical Introduction</w:t>
      </w:r>
      <w:r w:rsidRPr="00111C04">
        <w:rPr>
          <w:rFonts w:ascii="Arial" w:hAnsi="Arial" w:cs="Arial"/>
          <w:sz w:val="21"/>
          <w:szCs w:val="21"/>
        </w:rPr>
        <w:t>, 7th ed. Upper Saddle River, NJ: Pearson Education Inc./ Prentice Hall, 2009.</w:t>
      </w:r>
    </w:p>
    <w:p w14:paraId="7282AE8F" w14:textId="77777777" w:rsidR="00B320A1" w:rsidRDefault="00B320A1" w:rsidP="00B320A1">
      <w:pPr>
        <w:pStyle w:val="BibliographyEntry"/>
      </w:pPr>
      <w:r w:rsidRPr="000E0054">
        <w:t xml:space="preserve">Goldstein, Leon J. </w:t>
      </w:r>
      <w:r>
        <w:t>“</w:t>
      </w:r>
      <w:r w:rsidRPr="000E0054">
        <w:t>Against Historical Realism.</w:t>
      </w:r>
      <w:r>
        <w:t>”</w:t>
      </w:r>
      <w:r w:rsidRPr="000E0054">
        <w:t xml:space="preserve"> </w:t>
      </w:r>
      <w:r w:rsidRPr="002300A5">
        <w:rPr>
          <w:i/>
          <w:iCs/>
        </w:rPr>
        <w:t>Philosophy and Phenomenological Research</w:t>
      </w:r>
      <w:r w:rsidRPr="000E0054">
        <w:t xml:space="preserve"> 40, no. 3 (1980): 426</w:t>
      </w:r>
      <w:r>
        <w:t>–4</w:t>
      </w:r>
      <w:r w:rsidRPr="000E0054">
        <w:t>29. doi:10.2307/2106407</w:t>
      </w:r>
    </w:p>
    <w:p w14:paraId="31A87A1D" w14:textId="77777777" w:rsidR="001C30D8" w:rsidRDefault="001C30D8" w:rsidP="001C30D8">
      <w:pPr>
        <w:pStyle w:val="BibliographyEntry"/>
      </w:pPr>
      <w:proofErr w:type="spellStart"/>
      <w:r w:rsidRPr="00FB6FD7">
        <w:t>Guelzo</w:t>
      </w:r>
      <w:proofErr w:type="spellEnd"/>
      <w:r w:rsidRPr="00FB6FD7">
        <w:t xml:space="preserve">, Allen C. </w:t>
      </w:r>
      <w:r>
        <w:t>“</w:t>
      </w:r>
      <w:r w:rsidRPr="00FB6FD7">
        <w:t>Making History</w:t>
      </w:r>
      <w:r>
        <w:t>:</w:t>
      </w:r>
      <w:r w:rsidRPr="00FB6FD7">
        <w:t xml:space="preserve"> How Great Historians Interpret the Past</w:t>
      </w:r>
      <w:r>
        <w:t xml:space="preserve">.” </w:t>
      </w:r>
      <w:r w:rsidRPr="00253F99">
        <w:rPr>
          <w:i/>
          <w:iCs/>
        </w:rPr>
        <w:t>The Great Courses</w:t>
      </w:r>
      <w:r w:rsidRPr="00FB6FD7">
        <w:t xml:space="preserve">. Chantilly, VA: </w:t>
      </w:r>
      <w:r>
        <w:t xml:space="preserve">The </w:t>
      </w:r>
      <w:r w:rsidRPr="00FB6FD7">
        <w:t>Teaching Co</w:t>
      </w:r>
      <w:r>
        <w:t>mpany</w:t>
      </w:r>
      <w:r w:rsidRPr="00FB6FD7">
        <w:t>, 2008.</w:t>
      </w:r>
    </w:p>
    <w:p w14:paraId="7340AF7F" w14:textId="77777777" w:rsidR="00751052" w:rsidRPr="009C1DB8" w:rsidRDefault="00751052" w:rsidP="00751052">
      <w:pPr>
        <w:pStyle w:val="BibliographyEntry"/>
      </w:pPr>
      <w:r w:rsidRPr="009C1DB8">
        <w:t xml:space="preserve">Hegel, </w:t>
      </w:r>
      <w:r w:rsidRPr="004F3F46">
        <w:t>Georg Wilhelm Friedrich</w:t>
      </w:r>
      <w:r w:rsidRPr="009C1DB8">
        <w:t xml:space="preserve">. </w:t>
      </w:r>
      <w:proofErr w:type="gramStart"/>
      <w:r w:rsidRPr="009C1DB8">
        <w:rPr>
          <w:i/>
        </w:rPr>
        <w:t>The Philosophy of History</w:t>
      </w:r>
      <w:r>
        <w:rPr>
          <w:iCs/>
        </w:rPr>
        <w:t>,</w:t>
      </w:r>
      <w:proofErr w:type="gramEnd"/>
      <w:r>
        <w:rPr>
          <w:iCs/>
        </w:rPr>
        <w:t xml:space="preserve"> </w:t>
      </w:r>
      <w:r w:rsidRPr="000936F4">
        <w:rPr>
          <w:iCs/>
        </w:rPr>
        <w:t>t</w:t>
      </w:r>
      <w:r w:rsidRPr="009C1DB8">
        <w:t xml:space="preserve">ranslated by J. </w:t>
      </w:r>
      <w:proofErr w:type="spellStart"/>
      <w:r w:rsidRPr="009C1DB8">
        <w:t>Sibree</w:t>
      </w:r>
      <w:proofErr w:type="spellEnd"/>
      <w:r w:rsidRPr="009C1DB8">
        <w:t xml:space="preserve">. </w:t>
      </w:r>
      <w:r>
        <w:t>New York, NY:</w:t>
      </w:r>
      <w:r w:rsidRPr="009C1DB8">
        <w:t xml:space="preserve"> Dover Publications, 2004. </w:t>
      </w:r>
    </w:p>
    <w:p w14:paraId="30C156BE" w14:textId="77777777" w:rsidR="005264AB" w:rsidRDefault="005264AB" w:rsidP="005264AB">
      <w:pPr>
        <w:pStyle w:val="BibliographyEntry"/>
      </w:pPr>
      <w:r w:rsidRPr="00692169">
        <w:t xml:space="preserve">Hornblower, Simon, ed. </w:t>
      </w:r>
      <w:r w:rsidRPr="00692169">
        <w:rPr>
          <w:i/>
        </w:rPr>
        <w:t>Greek Historiography</w:t>
      </w:r>
      <w:r w:rsidRPr="00692169">
        <w:t xml:space="preserve">. Oxford: Clarendon, 1994. </w:t>
      </w:r>
    </w:p>
    <w:p w14:paraId="6D25BCE4" w14:textId="77777777" w:rsidR="005264AB" w:rsidRDefault="005264AB" w:rsidP="005264AB">
      <w:pPr>
        <w:pStyle w:val="BibliographyEntry"/>
      </w:pPr>
      <w:r>
        <w:t xml:space="preserve">Howell, Martha C. Walter </w:t>
      </w:r>
      <w:proofErr w:type="spellStart"/>
      <w:r>
        <w:t>Prevenier</w:t>
      </w:r>
      <w:proofErr w:type="spellEnd"/>
      <w:r>
        <w:t xml:space="preserve">. </w:t>
      </w:r>
      <w:r w:rsidRPr="008E7D4F">
        <w:rPr>
          <w:i/>
        </w:rPr>
        <w:t xml:space="preserve">From </w:t>
      </w:r>
      <w:r>
        <w:rPr>
          <w:i/>
        </w:rPr>
        <w:t>R</w:t>
      </w:r>
      <w:r w:rsidRPr="008E7D4F">
        <w:rPr>
          <w:i/>
        </w:rPr>
        <w:t xml:space="preserve">eliable </w:t>
      </w:r>
      <w:r>
        <w:rPr>
          <w:i/>
        </w:rPr>
        <w:t>S</w:t>
      </w:r>
      <w:r w:rsidRPr="008E7D4F">
        <w:rPr>
          <w:i/>
        </w:rPr>
        <w:t xml:space="preserve">ources: </w:t>
      </w:r>
      <w:r>
        <w:rPr>
          <w:i/>
        </w:rPr>
        <w:t>A</w:t>
      </w:r>
      <w:r w:rsidRPr="008E7D4F">
        <w:rPr>
          <w:i/>
        </w:rPr>
        <w:t xml:space="preserve">n </w:t>
      </w:r>
      <w:r>
        <w:rPr>
          <w:i/>
        </w:rPr>
        <w:t>I</w:t>
      </w:r>
      <w:r w:rsidRPr="008E7D4F">
        <w:rPr>
          <w:i/>
        </w:rPr>
        <w:t xml:space="preserve">ntroduction to </w:t>
      </w:r>
      <w:r>
        <w:rPr>
          <w:i/>
        </w:rPr>
        <w:t>H</w:t>
      </w:r>
      <w:r w:rsidRPr="008E7D4F">
        <w:rPr>
          <w:i/>
        </w:rPr>
        <w:t xml:space="preserve">istorical </w:t>
      </w:r>
      <w:r>
        <w:rPr>
          <w:i/>
        </w:rPr>
        <w:t>M</w:t>
      </w:r>
      <w:r w:rsidRPr="008E7D4F">
        <w:rPr>
          <w:i/>
        </w:rPr>
        <w:t>ethods</w:t>
      </w:r>
      <w:r>
        <w:t>. Ithaca, NY: Cornell University Press, 2001.</w:t>
      </w:r>
    </w:p>
    <w:p w14:paraId="3423708C" w14:textId="77777777" w:rsidR="005264AB" w:rsidRDefault="005264AB" w:rsidP="005264AB">
      <w:pPr>
        <w:pStyle w:val="BibliographyEntry"/>
      </w:pPr>
      <w:r>
        <w:t xml:space="preserve">Hutton, Patrick H. </w:t>
      </w:r>
      <w:r w:rsidRPr="0029017C">
        <w:rPr>
          <w:i/>
        </w:rPr>
        <w:t>History as an Art of Memory</w:t>
      </w:r>
      <w:r>
        <w:t>. Hanover, NH: University Press of New England, 1993.</w:t>
      </w:r>
    </w:p>
    <w:p w14:paraId="3B9534A7" w14:textId="77777777" w:rsidR="00153685" w:rsidRDefault="00153685" w:rsidP="00153685">
      <w:pPr>
        <w:pStyle w:val="BibliographyEntry"/>
      </w:pPr>
      <w:r w:rsidRPr="009C1DB8">
        <w:rPr>
          <w:i/>
        </w:rPr>
        <w:t xml:space="preserve">Jesus, Criteria, and the Demise of Authenticity, </w:t>
      </w:r>
      <w:r w:rsidRPr="009C1DB8">
        <w:t>edited by Chris Keith and Anthony Le Donne, 9</w:t>
      </w:r>
      <w:r>
        <w:t>5–</w:t>
      </w:r>
      <w:r w:rsidRPr="009C1DB8">
        <w:t xml:space="preserve">114. London: T&amp;T Clark, 2012. </w:t>
      </w:r>
    </w:p>
    <w:p w14:paraId="748449C7" w14:textId="24E9E224" w:rsidR="00AA5DAB" w:rsidRPr="00153685" w:rsidRDefault="00AA5DAB" w:rsidP="00153685">
      <w:pPr>
        <w:pStyle w:val="BibliographyEntry"/>
      </w:pPr>
      <w:r w:rsidRPr="003F59B2">
        <w:rPr>
          <w:i/>
        </w:rPr>
        <w:t>Jesus, Skepticism, and the Problem of History: Criteria and Context in the Study of Christian Origins</w:t>
      </w:r>
      <w:r>
        <w:t xml:space="preserve">, edited by Darrell L. Bock, and J. Ed </w:t>
      </w:r>
      <w:proofErr w:type="spellStart"/>
      <w:r>
        <w:t>Komoszewski</w:t>
      </w:r>
      <w:proofErr w:type="spellEnd"/>
      <w:r>
        <w:t>, 17–42. Grand Rapids, MI: Zondervan, 2019.</w:t>
      </w:r>
    </w:p>
    <w:p w14:paraId="6822938A" w14:textId="25D1966B"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Kramer, Lloyd </w:t>
      </w:r>
      <w:proofErr w:type="gramStart"/>
      <w:r w:rsidRPr="00111C04">
        <w:rPr>
          <w:rFonts w:ascii="Arial" w:hAnsi="Arial" w:cs="Arial"/>
          <w:sz w:val="21"/>
          <w:szCs w:val="21"/>
        </w:rPr>
        <w:t>S.</w:t>
      </w:r>
      <w:proofErr w:type="gramEnd"/>
      <w:r w:rsidRPr="00111C04">
        <w:rPr>
          <w:rFonts w:ascii="Arial" w:hAnsi="Arial" w:cs="Arial"/>
          <w:sz w:val="21"/>
          <w:szCs w:val="21"/>
        </w:rPr>
        <w:t xml:space="preserve"> and Sarah C. </w:t>
      </w:r>
      <w:proofErr w:type="spellStart"/>
      <w:r w:rsidRPr="00111C04">
        <w:rPr>
          <w:rFonts w:ascii="Arial" w:hAnsi="Arial" w:cs="Arial"/>
          <w:sz w:val="21"/>
          <w:szCs w:val="21"/>
        </w:rPr>
        <w:t>Maza</w:t>
      </w:r>
      <w:proofErr w:type="spellEnd"/>
      <w:r w:rsidRPr="00111C04">
        <w:rPr>
          <w:rFonts w:ascii="Arial" w:hAnsi="Arial" w:cs="Arial"/>
          <w:sz w:val="21"/>
          <w:szCs w:val="21"/>
        </w:rPr>
        <w:t xml:space="preserve"> (eds.) </w:t>
      </w:r>
      <w:r w:rsidRPr="00111C04">
        <w:rPr>
          <w:rFonts w:ascii="Arial" w:hAnsi="Arial" w:cs="Arial"/>
          <w:i/>
          <w:sz w:val="21"/>
          <w:szCs w:val="21"/>
        </w:rPr>
        <w:t>A Companion to Western Historical Thought</w:t>
      </w:r>
      <w:r w:rsidRPr="00111C04">
        <w:rPr>
          <w:rFonts w:ascii="Arial" w:hAnsi="Arial" w:cs="Arial"/>
          <w:sz w:val="21"/>
          <w:szCs w:val="21"/>
        </w:rPr>
        <w:t>. Oxford: Blackwell, 2002.</w:t>
      </w:r>
    </w:p>
    <w:p w14:paraId="3F5F6BCB" w14:textId="77777777" w:rsidR="005264AB" w:rsidRDefault="005264AB" w:rsidP="005264AB">
      <w:pPr>
        <w:pStyle w:val="BibliographyEntry"/>
      </w:pPr>
      <w:r w:rsidRPr="003674A5">
        <w:lastRenderedPageBreak/>
        <w:t xml:space="preserve">Kraus, Christina S., and A. J. Woodman. </w:t>
      </w:r>
      <w:r w:rsidRPr="003674A5">
        <w:rPr>
          <w:i/>
        </w:rPr>
        <w:t>Latin Historians</w:t>
      </w:r>
      <w:r w:rsidRPr="003674A5">
        <w:t xml:space="preserve">. Greece and Rome New Surveys in the Classics. Oxford: Oxford University Press, 1997. </w:t>
      </w:r>
    </w:p>
    <w:p w14:paraId="40C72D1F" w14:textId="77777777" w:rsidR="00153685" w:rsidRDefault="00153685" w:rsidP="00153685">
      <w:pPr>
        <w:pStyle w:val="BibliographyEntry"/>
      </w:pPr>
      <w:proofErr w:type="spellStart"/>
      <w:r w:rsidRPr="00A753F9">
        <w:t>Kuzminski</w:t>
      </w:r>
      <w:proofErr w:type="spellEnd"/>
      <w:r w:rsidRPr="00A753F9">
        <w:t xml:space="preserve">, Adrian. </w:t>
      </w:r>
      <w:r>
        <w:t>“</w:t>
      </w:r>
      <w:r w:rsidRPr="00A753F9">
        <w:t>Defending Historical Realism.</w:t>
      </w:r>
      <w:r>
        <w:t>”</w:t>
      </w:r>
      <w:r w:rsidRPr="00A753F9">
        <w:t xml:space="preserve"> </w:t>
      </w:r>
      <w:r w:rsidRPr="00A753F9">
        <w:rPr>
          <w:i/>
          <w:iCs/>
        </w:rPr>
        <w:t>History and Theory</w:t>
      </w:r>
      <w:r w:rsidRPr="00A753F9">
        <w:t xml:space="preserve"> 18, no. 3 (1979): 316</w:t>
      </w:r>
      <w:r>
        <w:t>–3</w:t>
      </w:r>
      <w:r w:rsidRPr="00A753F9">
        <w:t>49.</w:t>
      </w:r>
      <w:r>
        <w:t xml:space="preserve"> </w:t>
      </w:r>
      <w:r w:rsidRPr="00043EA0">
        <w:t>https://doi.org/10.2307/2504534</w:t>
      </w:r>
    </w:p>
    <w:p w14:paraId="53AAE56A" w14:textId="77777777" w:rsidR="00153685" w:rsidRPr="009C1DB8" w:rsidRDefault="00153685" w:rsidP="00153685">
      <w:pPr>
        <w:pStyle w:val="BibliographyEntry"/>
      </w:pPr>
      <w:r w:rsidRPr="009C1DB8">
        <w:t xml:space="preserve">Lemon, M. C. </w:t>
      </w:r>
      <w:r w:rsidRPr="009C1DB8">
        <w:rPr>
          <w:i/>
        </w:rPr>
        <w:t xml:space="preserve">The Discipline of History and the History of Thought. </w:t>
      </w:r>
      <w:r w:rsidRPr="009C1DB8">
        <w:t xml:space="preserve">London: Routledge, 2002. </w:t>
      </w:r>
    </w:p>
    <w:p w14:paraId="118301B5" w14:textId="77777777" w:rsidR="00371B10" w:rsidRPr="00111C04" w:rsidRDefault="00371B10" w:rsidP="00111C04">
      <w:pPr>
        <w:pStyle w:val="BibliographyEntry"/>
        <w:ind w:left="851"/>
        <w:rPr>
          <w:rFonts w:ascii="Arial" w:hAnsi="Arial" w:cs="Arial"/>
          <w:sz w:val="21"/>
          <w:szCs w:val="21"/>
        </w:rPr>
      </w:pPr>
      <w:proofErr w:type="spellStart"/>
      <w:r w:rsidRPr="00111C04">
        <w:rPr>
          <w:rFonts w:ascii="Arial" w:hAnsi="Arial" w:cs="Arial"/>
          <w:sz w:val="21"/>
          <w:szCs w:val="21"/>
        </w:rPr>
        <w:t>Licona</w:t>
      </w:r>
      <w:proofErr w:type="spellEnd"/>
      <w:r w:rsidRPr="00111C04">
        <w:rPr>
          <w:rFonts w:ascii="Arial" w:hAnsi="Arial" w:cs="Arial"/>
          <w:sz w:val="21"/>
          <w:szCs w:val="21"/>
        </w:rPr>
        <w:t xml:space="preserve">, Michael. “Historians and Miracle Claims” </w:t>
      </w:r>
      <w:r w:rsidRPr="00111C04">
        <w:rPr>
          <w:rFonts w:ascii="Arial" w:hAnsi="Arial" w:cs="Arial"/>
          <w:i/>
          <w:sz w:val="21"/>
          <w:szCs w:val="21"/>
        </w:rPr>
        <w:t>JSHJ</w:t>
      </w:r>
      <w:r w:rsidRPr="00111C04">
        <w:rPr>
          <w:rFonts w:ascii="Arial" w:hAnsi="Arial" w:cs="Arial"/>
          <w:sz w:val="21"/>
          <w:szCs w:val="21"/>
        </w:rPr>
        <w:t xml:space="preserve"> 12 (2014), 106-129.</w:t>
      </w:r>
    </w:p>
    <w:p w14:paraId="4F889977" w14:textId="77777777" w:rsidR="00153685" w:rsidRDefault="00153685" w:rsidP="00153685">
      <w:pPr>
        <w:pStyle w:val="BibliographyEntry"/>
      </w:pPr>
      <w:r>
        <w:t xml:space="preserve">MacMillan, Margaret. </w:t>
      </w:r>
      <w:r w:rsidRPr="00902E88">
        <w:rPr>
          <w:i/>
        </w:rPr>
        <w:t>Dangerous Games: The Uses and Abuses of History</w:t>
      </w:r>
      <w:r>
        <w:t>. New York, NY: Modern Library, 2010.</w:t>
      </w:r>
    </w:p>
    <w:p w14:paraId="38114E5B" w14:textId="77777777" w:rsidR="00153685" w:rsidRDefault="00153685" w:rsidP="00153685">
      <w:pPr>
        <w:pStyle w:val="BibliographyEntry"/>
      </w:pPr>
      <w:r>
        <w:t xml:space="preserve">Mandelbaum, Maurice. “Objectivism in History.” In </w:t>
      </w:r>
      <w:r w:rsidRPr="00691282">
        <w:rPr>
          <w:i/>
          <w:iCs/>
        </w:rPr>
        <w:t>Philosophy and History</w:t>
      </w:r>
      <w:r>
        <w:t>, edited by Sidney Hook, 43–56. New York, NY: University Press, 1963.</w:t>
      </w:r>
    </w:p>
    <w:p w14:paraId="4E9C06B5" w14:textId="77777777" w:rsidR="00153685" w:rsidRDefault="00153685" w:rsidP="00153685">
      <w:pPr>
        <w:pStyle w:val="BibliographyEntry"/>
      </w:pPr>
      <w:proofErr w:type="spellStart"/>
      <w:r>
        <w:t>Marincola</w:t>
      </w:r>
      <w:proofErr w:type="spellEnd"/>
      <w:r>
        <w:t>,</w:t>
      </w:r>
      <w:r w:rsidRPr="006064D7">
        <w:t xml:space="preserve"> </w:t>
      </w:r>
      <w:r>
        <w:t xml:space="preserve">John. </w:t>
      </w:r>
      <w:r w:rsidRPr="006064D7">
        <w:rPr>
          <w:i/>
        </w:rPr>
        <w:t>Authority and Tradition in Ancient Historiography</w:t>
      </w:r>
      <w:r>
        <w:t>. Cambridge: Cambridge University Press, 1997.</w:t>
      </w:r>
    </w:p>
    <w:p w14:paraId="69E537CC" w14:textId="77777777" w:rsidR="00371B10" w:rsidRPr="00111C04" w:rsidRDefault="00371B10" w:rsidP="00111C04">
      <w:pPr>
        <w:pStyle w:val="BibliographyEntry"/>
        <w:ind w:left="851"/>
        <w:rPr>
          <w:rFonts w:ascii="Arial" w:hAnsi="Arial" w:cs="Arial"/>
          <w:sz w:val="21"/>
          <w:szCs w:val="21"/>
        </w:rPr>
      </w:pPr>
      <w:proofErr w:type="spellStart"/>
      <w:r w:rsidRPr="00111C04">
        <w:rPr>
          <w:rFonts w:ascii="Arial" w:hAnsi="Arial" w:cs="Arial"/>
          <w:sz w:val="21"/>
          <w:szCs w:val="21"/>
        </w:rPr>
        <w:t>Marsak</w:t>
      </w:r>
      <w:proofErr w:type="spellEnd"/>
      <w:r w:rsidRPr="00111C04">
        <w:rPr>
          <w:rFonts w:ascii="Arial" w:hAnsi="Arial" w:cs="Arial"/>
          <w:sz w:val="21"/>
          <w:szCs w:val="21"/>
        </w:rPr>
        <w:t>, Leonard Mendes (ed</w:t>
      </w:r>
      <w:r w:rsidRPr="00111C04">
        <w:rPr>
          <w:rFonts w:ascii="Arial" w:hAnsi="Arial" w:cs="Arial"/>
          <w:i/>
          <w:sz w:val="21"/>
          <w:szCs w:val="21"/>
        </w:rPr>
        <w:t>.) The Nature of Historical Inquiry</w:t>
      </w:r>
      <w:r w:rsidRPr="00111C04">
        <w:rPr>
          <w:rFonts w:ascii="Arial" w:hAnsi="Arial" w:cs="Arial"/>
          <w:sz w:val="21"/>
          <w:szCs w:val="21"/>
        </w:rPr>
        <w:t>. Huntington, NY: R.E. Krieger Pub. Co, 1985.</w:t>
      </w:r>
    </w:p>
    <w:p w14:paraId="199A6C0C"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Marsh, Clive. “Quests of the Historical Jesus in New Historicist Perspective,” </w:t>
      </w:r>
      <w:proofErr w:type="spellStart"/>
      <w:r w:rsidRPr="00111C04">
        <w:rPr>
          <w:rFonts w:ascii="Arial" w:hAnsi="Arial" w:cs="Arial"/>
          <w:i/>
          <w:sz w:val="21"/>
          <w:szCs w:val="21"/>
        </w:rPr>
        <w:t>BibInt</w:t>
      </w:r>
      <w:proofErr w:type="spellEnd"/>
      <w:r w:rsidRPr="00111C04">
        <w:rPr>
          <w:rFonts w:ascii="Arial" w:hAnsi="Arial" w:cs="Arial"/>
          <w:sz w:val="21"/>
          <w:szCs w:val="21"/>
        </w:rPr>
        <w:t xml:space="preserve"> 5 (1997): 403-37.</w:t>
      </w:r>
    </w:p>
    <w:p w14:paraId="53A142DA" w14:textId="77777777" w:rsidR="00153685" w:rsidRDefault="00153685" w:rsidP="00153685">
      <w:pPr>
        <w:pStyle w:val="BibliographyEntry"/>
      </w:pPr>
      <w:r w:rsidRPr="00BB58A6">
        <w:t xml:space="preserve">McCullagh, C. Behan. </w:t>
      </w:r>
      <w:r>
        <w:t>“</w:t>
      </w:r>
      <w:r w:rsidRPr="00BB58A6">
        <w:t xml:space="preserve">Bias in </w:t>
      </w:r>
      <w:r>
        <w:t>H</w:t>
      </w:r>
      <w:r w:rsidRPr="00BB58A6">
        <w:t xml:space="preserve">istorical </w:t>
      </w:r>
      <w:r>
        <w:t>D</w:t>
      </w:r>
      <w:r w:rsidRPr="00BB58A6">
        <w:t xml:space="preserve">escription, </w:t>
      </w:r>
      <w:r>
        <w:t>I</w:t>
      </w:r>
      <w:r w:rsidRPr="00BB58A6">
        <w:t xml:space="preserve">nterpretation, and </w:t>
      </w:r>
      <w:r>
        <w:t>E</w:t>
      </w:r>
      <w:r w:rsidRPr="00BB58A6">
        <w:t>xplanation.</w:t>
      </w:r>
      <w:r>
        <w:t>”</w:t>
      </w:r>
      <w:r w:rsidRPr="00BB58A6">
        <w:t xml:space="preserve"> </w:t>
      </w:r>
      <w:r w:rsidRPr="00BB58A6">
        <w:rPr>
          <w:i/>
        </w:rPr>
        <w:t>History and Theory</w:t>
      </w:r>
      <w:r w:rsidRPr="00BB58A6">
        <w:t xml:space="preserve"> 3</w:t>
      </w:r>
      <w:r>
        <w:t>9, no. 1</w:t>
      </w:r>
      <w:r w:rsidRPr="00BB58A6">
        <w:t xml:space="preserve"> (2000): 39</w:t>
      </w:r>
      <w:r>
        <w:t>–</w:t>
      </w:r>
      <w:r w:rsidRPr="00BB58A6">
        <w:t>66.</w:t>
      </w:r>
      <w:r>
        <w:t xml:space="preserve"> </w:t>
      </w:r>
      <w:r w:rsidRPr="006D3265">
        <w:t>https://www.jstor.org/stable/2677997</w:t>
      </w:r>
    </w:p>
    <w:p w14:paraId="6C8E834E" w14:textId="77777777" w:rsidR="00153685" w:rsidRDefault="00153685" w:rsidP="00153685">
      <w:pPr>
        <w:pStyle w:val="BibliographyEntry"/>
      </w:pPr>
      <w:r w:rsidRPr="00F92009">
        <w:t xml:space="preserve">McCullagh, C. Behan. </w:t>
      </w:r>
      <w:r>
        <w:t>“</w:t>
      </w:r>
      <w:r w:rsidRPr="00F92009">
        <w:t>Can Our Understanding of Old Texts Be Objective?</w:t>
      </w:r>
      <w:r>
        <w:t>”</w:t>
      </w:r>
      <w:r w:rsidRPr="00F92009">
        <w:t xml:space="preserve"> </w:t>
      </w:r>
      <w:r w:rsidRPr="00F92009">
        <w:rPr>
          <w:i/>
          <w:iCs/>
        </w:rPr>
        <w:t>History and Theory</w:t>
      </w:r>
      <w:r w:rsidRPr="00F92009">
        <w:t xml:space="preserve"> 30, no. 3 (1991): 302</w:t>
      </w:r>
      <w:r>
        <w:t>–3</w:t>
      </w:r>
      <w:r w:rsidRPr="00F92009">
        <w:t xml:space="preserve">23. </w:t>
      </w:r>
      <w:r w:rsidRPr="0022084B">
        <w:t>https://doi.org/10.2307/2505560</w:t>
      </w:r>
    </w:p>
    <w:p w14:paraId="32502692" w14:textId="77777777" w:rsidR="00153685" w:rsidRDefault="00153685" w:rsidP="00153685">
      <w:pPr>
        <w:pStyle w:val="BibliographyEntry"/>
      </w:pPr>
      <w:r w:rsidRPr="00004C3E">
        <w:t xml:space="preserve">McCullagh, C. Behan. </w:t>
      </w:r>
      <w:r>
        <w:t>“</w:t>
      </w:r>
      <w:r w:rsidRPr="00004C3E">
        <w:t>Historical Realism.</w:t>
      </w:r>
      <w:r>
        <w:t>”</w:t>
      </w:r>
      <w:r w:rsidRPr="00004C3E">
        <w:t xml:space="preserve"> </w:t>
      </w:r>
      <w:r w:rsidRPr="00ED6E44">
        <w:rPr>
          <w:i/>
          <w:iCs/>
        </w:rPr>
        <w:t>Philosophy and Phenomenological Research</w:t>
      </w:r>
      <w:r w:rsidRPr="00004C3E">
        <w:t xml:space="preserve"> 40, no. 3 (1980): 420</w:t>
      </w:r>
      <w:r>
        <w:t>–4</w:t>
      </w:r>
      <w:r w:rsidRPr="00004C3E">
        <w:t xml:space="preserve">25. </w:t>
      </w:r>
      <w:r w:rsidRPr="00B117EC">
        <w:t>https://doi.org/10.2307/2106406</w:t>
      </w:r>
    </w:p>
    <w:p w14:paraId="47E483C8" w14:textId="77777777" w:rsidR="00153685" w:rsidRDefault="00153685" w:rsidP="00153685">
      <w:pPr>
        <w:pStyle w:val="BibliographyEntry"/>
      </w:pPr>
      <w:r w:rsidRPr="0066379D">
        <w:t xml:space="preserve">McCullagh, C. Behan. </w:t>
      </w:r>
      <w:r>
        <w:t>“</w:t>
      </w:r>
      <w:r w:rsidRPr="0066379D">
        <w:t xml:space="preserve">Invitation to </w:t>
      </w:r>
      <w:r>
        <w:t>H</w:t>
      </w:r>
      <w:r w:rsidRPr="0066379D">
        <w:t>istorians.</w:t>
      </w:r>
      <w:r>
        <w:t>”</w:t>
      </w:r>
      <w:r w:rsidRPr="0066379D">
        <w:t xml:space="preserve"> </w:t>
      </w:r>
      <w:r w:rsidRPr="0066379D">
        <w:rPr>
          <w:i/>
        </w:rPr>
        <w:t>Rethinking History</w:t>
      </w:r>
      <w:r w:rsidRPr="0066379D">
        <w:t xml:space="preserve"> 1</w:t>
      </w:r>
      <w:r>
        <w:t>2, no. 2</w:t>
      </w:r>
      <w:r w:rsidRPr="0066379D">
        <w:t xml:space="preserve"> (2008): 273</w:t>
      </w:r>
      <w:r>
        <w:t>–27</w:t>
      </w:r>
      <w:r w:rsidRPr="0066379D">
        <w:t>9.</w:t>
      </w:r>
      <w:r>
        <w:t xml:space="preserve"> </w:t>
      </w:r>
      <w:r w:rsidRPr="00121AD2">
        <w:t>https://doi.org/10.1080/13642520802002356</w:t>
      </w:r>
    </w:p>
    <w:p w14:paraId="24A07A35" w14:textId="77777777" w:rsidR="00153685" w:rsidRDefault="00153685" w:rsidP="00153685">
      <w:pPr>
        <w:pStyle w:val="BibliographyEntry"/>
      </w:pPr>
      <w:r w:rsidRPr="00340D6A">
        <w:t>McCullagh, C. Behan</w:t>
      </w:r>
      <w:r>
        <w:t>.</w:t>
      </w:r>
      <w:r w:rsidRPr="00340D6A">
        <w:t xml:space="preserve"> </w:t>
      </w:r>
      <w:r w:rsidRPr="00340D6A">
        <w:rPr>
          <w:i/>
          <w:iCs/>
        </w:rPr>
        <w:t>Justifying Historical Descriptions</w:t>
      </w:r>
      <w:r>
        <w:t xml:space="preserve">. </w:t>
      </w:r>
      <w:r w:rsidRPr="00340D6A">
        <w:t>Cambridge: Cambridge Unive</w:t>
      </w:r>
      <w:r>
        <w:t>rsity Press, 1984</w:t>
      </w:r>
      <w:r w:rsidRPr="00340D6A">
        <w:t>.</w:t>
      </w:r>
    </w:p>
    <w:p w14:paraId="2375494A" w14:textId="77777777" w:rsidR="00153685" w:rsidRDefault="00153685" w:rsidP="00153685">
      <w:pPr>
        <w:pStyle w:val="BibliographyEntry"/>
      </w:pPr>
      <w:r w:rsidRPr="00E85CED">
        <w:t xml:space="preserve">McCullagh, </w:t>
      </w:r>
      <w:r>
        <w:t xml:space="preserve">C. Behan. </w:t>
      </w:r>
      <w:r w:rsidRPr="00E85CED">
        <w:rPr>
          <w:i/>
        </w:rPr>
        <w:t>The Truth of History</w:t>
      </w:r>
      <w:r>
        <w:t>. New York, NY: Routledge, 1998</w:t>
      </w:r>
      <w:r w:rsidRPr="00E85CED">
        <w:t>.</w:t>
      </w:r>
    </w:p>
    <w:p w14:paraId="65896383" w14:textId="77777777" w:rsidR="00153685" w:rsidRDefault="00153685" w:rsidP="00153685">
      <w:pPr>
        <w:pStyle w:val="BibliographyEntry"/>
      </w:pPr>
      <w:r w:rsidRPr="00DE3344">
        <w:t xml:space="preserve">McCullagh, C. Behan. </w:t>
      </w:r>
      <w:r>
        <w:t>“</w:t>
      </w:r>
      <w:r w:rsidRPr="00DE3344">
        <w:t xml:space="preserve">What </w:t>
      </w:r>
      <w:r>
        <w:t>D</w:t>
      </w:r>
      <w:r w:rsidRPr="00DE3344">
        <w:t xml:space="preserve">o </w:t>
      </w:r>
      <w:r>
        <w:t>H</w:t>
      </w:r>
      <w:r w:rsidRPr="00DE3344">
        <w:t xml:space="preserve">istorians </w:t>
      </w:r>
      <w:r>
        <w:t>A</w:t>
      </w:r>
      <w:r w:rsidRPr="00DE3344">
        <w:t xml:space="preserve">rgue </w:t>
      </w:r>
      <w:r>
        <w:t>A</w:t>
      </w:r>
      <w:r w:rsidRPr="00DE3344">
        <w:t>bout?</w:t>
      </w:r>
      <w:r>
        <w:t>”</w:t>
      </w:r>
      <w:r w:rsidRPr="00DE3344">
        <w:t xml:space="preserve"> </w:t>
      </w:r>
      <w:r w:rsidRPr="00DE3344">
        <w:rPr>
          <w:i/>
        </w:rPr>
        <w:t>History and Theory</w:t>
      </w:r>
      <w:r w:rsidRPr="00DE3344">
        <w:t xml:space="preserve"> 4</w:t>
      </w:r>
      <w:r>
        <w:t>3, no. 1</w:t>
      </w:r>
      <w:r w:rsidRPr="00DE3344">
        <w:t xml:space="preserve"> (2004): 18</w:t>
      </w:r>
      <w:r>
        <w:t>–</w:t>
      </w:r>
      <w:r w:rsidRPr="00DE3344">
        <w:t>38.</w:t>
      </w:r>
      <w:r>
        <w:t xml:space="preserve"> </w:t>
      </w:r>
      <w:r w:rsidRPr="000D1E87">
        <w:t>https://doi.org/10.1111/j.1468-2303.2004.00263.x</w:t>
      </w:r>
    </w:p>
    <w:p w14:paraId="542FC127"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McCullagh, C. Behan. </w:t>
      </w:r>
      <w:r w:rsidRPr="00111C04">
        <w:rPr>
          <w:rFonts w:ascii="Arial" w:hAnsi="Arial" w:cs="Arial"/>
          <w:i/>
          <w:sz w:val="21"/>
          <w:szCs w:val="21"/>
        </w:rPr>
        <w:t>The Logic of History: Putting Postmodernism in Perspective</w:t>
      </w:r>
      <w:r w:rsidRPr="00111C04">
        <w:rPr>
          <w:rFonts w:ascii="Arial" w:hAnsi="Arial" w:cs="Arial"/>
          <w:sz w:val="21"/>
          <w:szCs w:val="21"/>
        </w:rPr>
        <w:t>. New York: Routledge, 2004.</w:t>
      </w:r>
    </w:p>
    <w:p w14:paraId="4711E93B"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McGrew, Timothy. “Miracles,” </w:t>
      </w:r>
      <w:r w:rsidRPr="00111C04">
        <w:rPr>
          <w:rFonts w:ascii="Arial" w:hAnsi="Arial" w:cs="Arial"/>
          <w:i/>
          <w:sz w:val="21"/>
          <w:szCs w:val="21"/>
        </w:rPr>
        <w:t>The Stanford Encyclopedia of Philosophy</w:t>
      </w:r>
      <w:r w:rsidRPr="00111C04">
        <w:rPr>
          <w:rFonts w:ascii="Arial" w:hAnsi="Arial" w:cs="Arial"/>
          <w:sz w:val="21"/>
          <w:szCs w:val="21"/>
        </w:rPr>
        <w:t xml:space="preserve">, edited by Edward N. </w:t>
      </w:r>
      <w:proofErr w:type="spellStart"/>
      <w:r w:rsidRPr="00111C04">
        <w:rPr>
          <w:rFonts w:ascii="Arial" w:hAnsi="Arial" w:cs="Arial"/>
          <w:sz w:val="21"/>
          <w:szCs w:val="21"/>
        </w:rPr>
        <w:t>Zalta</w:t>
      </w:r>
      <w:proofErr w:type="spellEnd"/>
      <w:r w:rsidRPr="00111C04">
        <w:rPr>
          <w:rFonts w:ascii="Arial" w:hAnsi="Arial" w:cs="Arial"/>
          <w:sz w:val="21"/>
          <w:szCs w:val="21"/>
        </w:rPr>
        <w:t>. Stanford, CA: The Metaphysics Research Lab, 2016. Available at: https://plato.stanford.edu/archives/win2016/entries/miracles/ (accessed January 28, 2018).</w:t>
      </w:r>
    </w:p>
    <w:p w14:paraId="5A775AB3" w14:textId="77777777" w:rsidR="00153685" w:rsidRDefault="00153685" w:rsidP="00153685">
      <w:pPr>
        <w:pStyle w:val="BibliographyEntry"/>
      </w:pPr>
      <w:proofErr w:type="spellStart"/>
      <w:r w:rsidRPr="008431C7">
        <w:t>Mehl</w:t>
      </w:r>
      <w:proofErr w:type="spellEnd"/>
      <w:r w:rsidRPr="008431C7">
        <w:t xml:space="preserve">, Andreas. </w:t>
      </w:r>
      <w:r w:rsidRPr="008431C7">
        <w:rPr>
          <w:i/>
        </w:rPr>
        <w:t>Roman Historiography: An Introduction to Its Basic Aspects and Development</w:t>
      </w:r>
      <w:r>
        <w:t>,</w:t>
      </w:r>
      <w:r w:rsidRPr="008431C7">
        <w:t xml:space="preserve"> </w:t>
      </w:r>
      <w:r>
        <w:t>t</w:t>
      </w:r>
      <w:r w:rsidRPr="008431C7">
        <w:t xml:space="preserve">ranslated by Hans-Friedrich Mueller. Malden, MA: Wiley-Blackwell, 2011. </w:t>
      </w:r>
    </w:p>
    <w:p w14:paraId="74F2F337" w14:textId="77777777" w:rsidR="00153685" w:rsidRDefault="00153685" w:rsidP="00153685">
      <w:pPr>
        <w:pStyle w:val="BibliographyEntry"/>
      </w:pPr>
      <w:r>
        <w:lastRenderedPageBreak/>
        <w:t xml:space="preserve">Mellor, Ronald. </w:t>
      </w:r>
      <w:r w:rsidRPr="0043694C">
        <w:rPr>
          <w:i/>
        </w:rPr>
        <w:t>The Roman Historians</w:t>
      </w:r>
      <w:r>
        <w:t>. London: Routledge, 1999.</w:t>
      </w:r>
    </w:p>
    <w:p w14:paraId="550C8ECE" w14:textId="77777777" w:rsidR="00153685" w:rsidRDefault="00153685" w:rsidP="00153685">
      <w:pPr>
        <w:pStyle w:val="BibliographyEntry"/>
      </w:pPr>
      <w:r w:rsidRPr="009C1DB8">
        <w:t xml:space="preserve">Munslow, Alun. </w:t>
      </w:r>
      <w:r w:rsidRPr="009C1DB8">
        <w:rPr>
          <w:i/>
        </w:rPr>
        <w:t xml:space="preserve">The New History. </w:t>
      </w:r>
      <w:r w:rsidRPr="009C1DB8">
        <w:t xml:space="preserve">Essex: Pearson Education, 2003. </w:t>
      </w:r>
    </w:p>
    <w:p w14:paraId="5C3B7D9B"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Niekerk, </w:t>
      </w:r>
      <w:proofErr w:type="spellStart"/>
      <w:r w:rsidRPr="00111C04">
        <w:rPr>
          <w:rFonts w:ascii="Arial" w:hAnsi="Arial" w:cs="Arial"/>
          <w:sz w:val="21"/>
          <w:szCs w:val="21"/>
        </w:rPr>
        <w:t>Kees</w:t>
      </w:r>
      <w:proofErr w:type="spellEnd"/>
      <w:r w:rsidRPr="00111C04">
        <w:rPr>
          <w:rFonts w:ascii="Arial" w:hAnsi="Arial" w:cs="Arial"/>
          <w:sz w:val="21"/>
          <w:szCs w:val="21"/>
        </w:rPr>
        <w:t xml:space="preserve"> van </w:t>
      </w:r>
      <w:proofErr w:type="spellStart"/>
      <w:r w:rsidRPr="00111C04">
        <w:rPr>
          <w:rFonts w:ascii="Arial" w:hAnsi="Arial" w:cs="Arial"/>
          <w:sz w:val="21"/>
          <w:szCs w:val="21"/>
        </w:rPr>
        <w:t>Kooten</w:t>
      </w:r>
      <w:proofErr w:type="spellEnd"/>
      <w:r w:rsidRPr="00111C04">
        <w:rPr>
          <w:rFonts w:ascii="Arial" w:hAnsi="Arial" w:cs="Arial"/>
          <w:sz w:val="21"/>
          <w:szCs w:val="21"/>
        </w:rPr>
        <w:t xml:space="preserve">. “A Critical Realist Perspective on the Dialogue between Theology and Science.” In </w:t>
      </w:r>
      <w:r w:rsidRPr="00111C04">
        <w:rPr>
          <w:rFonts w:ascii="Arial" w:hAnsi="Arial" w:cs="Arial"/>
          <w:i/>
          <w:sz w:val="21"/>
          <w:szCs w:val="21"/>
        </w:rPr>
        <w:t xml:space="preserve">Rethinking Theology and Science: Six Models for the Current Debate, </w:t>
      </w:r>
      <w:r w:rsidRPr="00111C04">
        <w:rPr>
          <w:rFonts w:ascii="Arial" w:hAnsi="Arial" w:cs="Arial"/>
          <w:sz w:val="21"/>
          <w:szCs w:val="21"/>
        </w:rPr>
        <w:t xml:space="preserve">edited by Niels Henrik </w:t>
      </w:r>
      <w:proofErr w:type="spellStart"/>
      <w:r w:rsidRPr="00111C04">
        <w:rPr>
          <w:rFonts w:ascii="Arial" w:hAnsi="Arial" w:cs="Arial"/>
          <w:sz w:val="21"/>
          <w:szCs w:val="21"/>
        </w:rPr>
        <w:t>Gregersen</w:t>
      </w:r>
      <w:proofErr w:type="spellEnd"/>
      <w:r w:rsidRPr="00111C04">
        <w:rPr>
          <w:rFonts w:ascii="Arial" w:hAnsi="Arial" w:cs="Arial"/>
          <w:sz w:val="21"/>
          <w:szCs w:val="21"/>
        </w:rPr>
        <w:t xml:space="preserve"> and J. Wentzel van </w:t>
      </w:r>
      <w:proofErr w:type="spellStart"/>
      <w:r w:rsidRPr="00111C04">
        <w:rPr>
          <w:rFonts w:ascii="Arial" w:hAnsi="Arial" w:cs="Arial"/>
          <w:sz w:val="21"/>
          <w:szCs w:val="21"/>
        </w:rPr>
        <w:t>Huyssteen</w:t>
      </w:r>
      <w:proofErr w:type="spellEnd"/>
      <w:r w:rsidRPr="00111C04">
        <w:rPr>
          <w:rFonts w:ascii="Arial" w:hAnsi="Arial" w:cs="Arial"/>
          <w:sz w:val="21"/>
          <w:szCs w:val="21"/>
        </w:rPr>
        <w:t>, 51-86. Grand Rapids: William B. Eerdmans Publishing Company, 1998.</w:t>
      </w:r>
    </w:p>
    <w:p w14:paraId="1533A8DA" w14:textId="77777777" w:rsidR="00153685" w:rsidRDefault="00153685" w:rsidP="00153685">
      <w:pPr>
        <w:pStyle w:val="BibliographyEntry"/>
      </w:pPr>
      <w:bookmarkStart w:id="2" w:name="_Hlk509232064"/>
      <w:bookmarkEnd w:id="1"/>
      <w:r w:rsidRPr="00322BBD">
        <w:t xml:space="preserve">Novick, Peter. </w:t>
      </w:r>
      <w:r w:rsidRPr="00322BBD">
        <w:rPr>
          <w:i/>
        </w:rPr>
        <w:t>That Noble Dream: The “Objectivity Question” and the American Historical Profession</w:t>
      </w:r>
      <w:r w:rsidRPr="00322BBD">
        <w:t>. Cambridge: Cambridge University Press, 1988.</w:t>
      </w:r>
    </w:p>
    <w:p w14:paraId="714E907A" w14:textId="77777777" w:rsidR="00371B10" w:rsidRPr="00111C04" w:rsidRDefault="00371B10" w:rsidP="00111C04">
      <w:pPr>
        <w:pStyle w:val="BibliographyEntry"/>
        <w:ind w:left="851"/>
        <w:rPr>
          <w:rFonts w:ascii="Arial" w:hAnsi="Arial" w:cs="Arial"/>
          <w:sz w:val="21"/>
          <w:szCs w:val="21"/>
          <w:lang w:bidi="he-IL"/>
        </w:rPr>
      </w:pPr>
      <w:proofErr w:type="spellStart"/>
      <w:r w:rsidRPr="00111C04">
        <w:rPr>
          <w:rFonts w:ascii="Arial" w:hAnsi="Arial" w:cs="Arial"/>
          <w:sz w:val="21"/>
          <w:szCs w:val="21"/>
        </w:rPr>
        <w:t>O’Collins</w:t>
      </w:r>
      <w:proofErr w:type="spellEnd"/>
      <w:r w:rsidRPr="00111C04">
        <w:rPr>
          <w:rFonts w:ascii="Arial" w:hAnsi="Arial" w:cs="Arial"/>
          <w:sz w:val="21"/>
          <w:szCs w:val="21"/>
        </w:rPr>
        <w:t xml:space="preserve">, G. G. “Is the Resurrection an ‘Historical’ Event?” </w:t>
      </w:r>
      <w:proofErr w:type="spellStart"/>
      <w:r w:rsidRPr="00111C04">
        <w:rPr>
          <w:rFonts w:ascii="Arial" w:hAnsi="Arial" w:cs="Arial"/>
          <w:i/>
          <w:sz w:val="21"/>
          <w:szCs w:val="21"/>
        </w:rPr>
        <w:t>Heythrop</w:t>
      </w:r>
      <w:proofErr w:type="spellEnd"/>
      <w:r w:rsidRPr="00111C04">
        <w:rPr>
          <w:rFonts w:ascii="Arial" w:hAnsi="Arial" w:cs="Arial"/>
          <w:sz w:val="21"/>
          <w:szCs w:val="21"/>
        </w:rPr>
        <w:t xml:space="preserve"> </w:t>
      </w:r>
      <w:r w:rsidRPr="00111C04">
        <w:rPr>
          <w:rFonts w:ascii="Arial" w:hAnsi="Arial" w:cs="Arial"/>
          <w:i/>
          <w:sz w:val="21"/>
          <w:szCs w:val="21"/>
        </w:rPr>
        <w:t>Journal</w:t>
      </w:r>
      <w:r w:rsidRPr="00111C04">
        <w:rPr>
          <w:rFonts w:ascii="Arial" w:hAnsi="Arial" w:cs="Arial"/>
          <w:sz w:val="21"/>
          <w:szCs w:val="21"/>
        </w:rPr>
        <w:t xml:space="preserve"> 8 (1967), 381-7.</w:t>
      </w:r>
    </w:p>
    <w:p w14:paraId="6E098B1C"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Padgett, Alan G. “Advice for Religious Historians: On the Myth of a Purely Historical Jesus.” In </w:t>
      </w:r>
      <w:proofErr w:type="gramStart"/>
      <w:r w:rsidRPr="00111C04">
        <w:rPr>
          <w:rFonts w:ascii="Arial" w:hAnsi="Arial" w:cs="Arial"/>
          <w:i/>
          <w:sz w:val="21"/>
          <w:szCs w:val="21"/>
        </w:rPr>
        <w:t>The</w:t>
      </w:r>
      <w:proofErr w:type="gramEnd"/>
      <w:r w:rsidRPr="00111C04">
        <w:rPr>
          <w:rFonts w:ascii="Arial" w:hAnsi="Arial" w:cs="Arial"/>
          <w:i/>
          <w:sz w:val="21"/>
          <w:szCs w:val="21"/>
        </w:rPr>
        <w:t xml:space="preserve"> Resurrection</w:t>
      </w:r>
      <w:r w:rsidRPr="00111C04">
        <w:rPr>
          <w:rFonts w:ascii="Arial" w:hAnsi="Arial" w:cs="Arial"/>
          <w:sz w:val="21"/>
          <w:szCs w:val="21"/>
        </w:rPr>
        <w:t xml:space="preserve">, eds. Stephen T. Davis, Daniel Kendall, and Gerald </w:t>
      </w:r>
      <w:proofErr w:type="spellStart"/>
      <w:r w:rsidRPr="00111C04">
        <w:rPr>
          <w:rFonts w:ascii="Arial" w:hAnsi="Arial" w:cs="Arial"/>
          <w:sz w:val="21"/>
          <w:szCs w:val="21"/>
        </w:rPr>
        <w:t>O’Collins</w:t>
      </w:r>
      <w:proofErr w:type="spellEnd"/>
      <w:r w:rsidRPr="00111C04">
        <w:rPr>
          <w:rFonts w:ascii="Arial" w:hAnsi="Arial" w:cs="Arial"/>
          <w:sz w:val="21"/>
          <w:szCs w:val="21"/>
        </w:rPr>
        <w:t>. New York, NY: Oxford University Press, 1997, 287-307.</w:t>
      </w:r>
    </w:p>
    <w:p w14:paraId="57BA16EA" w14:textId="77777777" w:rsidR="001B3A9A" w:rsidRDefault="001B3A9A" w:rsidP="001B3A9A">
      <w:pPr>
        <w:pStyle w:val="BibliographyEntry"/>
      </w:pPr>
      <w:r>
        <w:t xml:space="preserve">Partner, Nancy F. “History in an Age of Reality-Fictions.” In </w:t>
      </w:r>
      <w:r w:rsidRPr="00FC78A8">
        <w:rPr>
          <w:i/>
          <w:iCs/>
        </w:rPr>
        <w:t>A New Philosophy of History</w:t>
      </w:r>
      <w:r>
        <w:t xml:space="preserve">, edited by Frank </w:t>
      </w:r>
      <w:proofErr w:type="spellStart"/>
      <w:r>
        <w:t>Ankersmit</w:t>
      </w:r>
      <w:proofErr w:type="spellEnd"/>
      <w:r>
        <w:t xml:space="preserve"> and Hans Kellner, 21–39. Chicago, IL: University of Chicago, 1995.</w:t>
      </w:r>
    </w:p>
    <w:p w14:paraId="5AAB5D2E" w14:textId="77777777" w:rsidR="003E3125" w:rsidRDefault="003E3125" w:rsidP="003E3125">
      <w:pPr>
        <w:pStyle w:val="BibliographyEntry"/>
      </w:pPr>
      <w:r>
        <w:t xml:space="preserve">Pitcher, Luke. </w:t>
      </w:r>
      <w:r w:rsidRPr="00EE00AF">
        <w:rPr>
          <w:i/>
        </w:rPr>
        <w:t>Writing Ancient History: An Introduction to Classical Historiography</w:t>
      </w:r>
      <w:r>
        <w:t>. London: Tauris, 2009.</w:t>
      </w:r>
    </w:p>
    <w:p w14:paraId="0B48E66D" w14:textId="77777777" w:rsidR="009C1346" w:rsidRDefault="009C1346" w:rsidP="009C1346">
      <w:pPr>
        <w:pStyle w:val="BibliographyEntry"/>
      </w:pPr>
      <w:r>
        <w:t>Porter, Stanley E. “</w:t>
      </w:r>
      <w:r w:rsidRPr="00832D73">
        <w:t>The Criteria for Authenticity</w:t>
      </w:r>
      <w:r>
        <w:t>.”</w:t>
      </w:r>
      <w:r w:rsidRPr="003444BE">
        <w:rPr>
          <w:i/>
        </w:rPr>
        <w:t xml:space="preserve"> </w:t>
      </w:r>
      <w:r>
        <w:t xml:space="preserve">In </w:t>
      </w:r>
      <w:r w:rsidRPr="00F57938">
        <w:rPr>
          <w:i/>
          <w:iCs/>
        </w:rPr>
        <w:t>Handbook for the Study of the Historical Jesus</w:t>
      </w:r>
      <w:r>
        <w:t xml:space="preserve">, edited by Tom </w:t>
      </w:r>
      <w:proofErr w:type="spellStart"/>
      <w:r>
        <w:t>Holmén</w:t>
      </w:r>
      <w:proofErr w:type="spellEnd"/>
      <w:r>
        <w:t xml:space="preserve"> and Stanley Porter, vol. 1, 695–714. Leiden: Brill, 2011.</w:t>
      </w:r>
    </w:p>
    <w:p w14:paraId="7F2A957F"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Polkinghorne, John. </w:t>
      </w:r>
      <w:r w:rsidRPr="00111C04">
        <w:rPr>
          <w:rFonts w:ascii="Arial" w:hAnsi="Arial" w:cs="Arial"/>
          <w:i/>
          <w:sz w:val="21"/>
          <w:szCs w:val="21"/>
        </w:rPr>
        <w:t xml:space="preserve">One World: The Interaction of Science and Theology. </w:t>
      </w:r>
      <w:r w:rsidRPr="00111C04">
        <w:rPr>
          <w:rFonts w:ascii="Arial" w:hAnsi="Arial" w:cs="Arial"/>
          <w:sz w:val="21"/>
          <w:szCs w:val="21"/>
        </w:rPr>
        <w:t xml:space="preserve">London: SPCK, 1986. </w:t>
      </w:r>
    </w:p>
    <w:bookmarkEnd w:id="2"/>
    <w:p w14:paraId="1FB631BC"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Polkinghorne, John. </w:t>
      </w:r>
      <w:r w:rsidRPr="00111C04">
        <w:rPr>
          <w:rFonts w:ascii="Arial" w:hAnsi="Arial" w:cs="Arial"/>
          <w:i/>
          <w:sz w:val="21"/>
          <w:szCs w:val="21"/>
        </w:rPr>
        <w:t xml:space="preserve">Science &amp; Christian Belief: Theological Reflections of a Bottom-Up Thinker. </w:t>
      </w:r>
      <w:r w:rsidRPr="00111C04">
        <w:rPr>
          <w:rFonts w:ascii="Arial" w:hAnsi="Arial" w:cs="Arial"/>
          <w:sz w:val="21"/>
          <w:szCs w:val="21"/>
        </w:rPr>
        <w:t xml:space="preserve">London: SPCK, 1994. </w:t>
      </w:r>
    </w:p>
    <w:p w14:paraId="2B9EB1DF"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Polkinghorne, John. </w:t>
      </w:r>
      <w:r w:rsidRPr="00111C04">
        <w:rPr>
          <w:rFonts w:ascii="Arial" w:hAnsi="Arial" w:cs="Arial"/>
          <w:i/>
          <w:sz w:val="21"/>
          <w:szCs w:val="21"/>
        </w:rPr>
        <w:t xml:space="preserve">Scientists as Theologians: A Comparison of the Writings of Ian Barbour, Arthur </w:t>
      </w:r>
      <w:proofErr w:type="spellStart"/>
      <w:r w:rsidRPr="00111C04">
        <w:rPr>
          <w:rFonts w:ascii="Arial" w:hAnsi="Arial" w:cs="Arial"/>
          <w:i/>
          <w:sz w:val="21"/>
          <w:szCs w:val="21"/>
        </w:rPr>
        <w:t>Peacocke</w:t>
      </w:r>
      <w:proofErr w:type="spellEnd"/>
      <w:r w:rsidRPr="00111C04">
        <w:rPr>
          <w:rFonts w:ascii="Arial" w:hAnsi="Arial" w:cs="Arial"/>
          <w:i/>
          <w:sz w:val="21"/>
          <w:szCs w:val="21"/>
        </w:rPr>
        <w:t xml:space="preserve"> and John Polkinghorne. </w:t>
      </w:r>
      <w:r w:rsidRPr="00111C04">
        <w:rPr>
          <w:rFonts w:ascii="Arial" w:hAnsi="Arial" w:cs="Arial"/>
          <w:sz w:val="21"/>
          <w:szCs w:val="21"/>
        </w:rPr>
        <w:t xml:space="preserve">London: SPCK, 1996. </w:t>
      </w:r>
    </w:p>
    <w:p w14:paraId="32CEA1E3" w14:textId="77777777" w:rsidR="009C1346" w:rsidRDefault="009C1346" w:rsidP="009C1346">
      <w:pPr>
        <w:pStyle w:val="BibliographyEntry"/>
      </w:pPr>
      <w:r>
        <w:t xml:space="preserve">Poythress, Diane. “Historiography: Redeeming History.” In </w:t>
      </w:r>
      <w:r w:rsidRPr="000E7C52">
        <w:rPr>
          <w:i/>
        </w:rPr>
        <w:t>Redeeming the Life of the Mind: Essays in Honor of Vern Poythress</w:t>
      </w:r>
      <w:r>
        <w:t>, edited by John M. Frame, Wayne A. Grudem, and John J. Hughes,</w:t>
      </w:r>
      <w:r w:rsidRPr="000E7C52">
        <w:t xml:space="preserve"> </w:t>
      </w:r>
      <w:r>
        <w:t>312–330. Wheaton, IL: Crossway, 2018.</w:t>
      </w:r>
    </w:p>
    <w:p w14:paraId="036EB674" w14:textId="77777777" w:rsidR="00453E73" w:rsidRDefault="00453E73" w:rsidP="00453E73">
      <w:pPr>
        <w:pStyle w:val="BibliographyEntry"/>
      </w:pPr>
      <w:r w:rsidRPr="00A77454">
        <w:t xml:space="preserve">Rae, Murray. </w:t>
      </w:r>
      <w:r w:rsidRPr="00A77454">
        <w:rPr>
          <w:i/>
          <w:iCs/>
        </w:rPr>
        <w:t>History and Hermeneutics</w:t>
      </w:r>
      <w:r w:rsidRPr="00A77454">
        <w:t>. London: T&amp;T Clark</w:t>
      </w:r>
      <w:r>
        <w:t>, 2005</w:t>
      </w:r>
      <w:r w:rsidRPr="00A77454">
        <w:t>.</w:t>
      </w:r>
    </w:p>
    <w:p w14:paraId="39FE2C2F" w14:textId="77777777" w:rsidR="00453E73" w:rsidRDefault="00453E73" w:rsidP="00453E73">
      <w:pPr>
        <w:pStyle w:val="BibliographyEntry"/>
      </w:pPr>
      <w:r w:rsidRPr="00D14BB5">
        <w:t>Roberts, David D. “Postmodernism and History: Missing the Missed Connections</w:t>
      </w:r>
      <w:r>
        <w:t>.</w:t>
      </w:r>
      <w:r w:rsidRPr="00D14BB5">
        <w:t xml:space="preserve">” </w:t>
      </w:r>
      <w:r w:rsidRPr="00D14BB5">
        <w:rPr>
          <w:i/>
        </w:rPr>
        <w:t>Hist</w:t>
      </w:r>
      <w:r>
        <w:rPr>
          <w:i/>
        </w:rPr>
        <w:t xml:space="preserve">ory and </w:t>
      </w:r>
      <w:r w:rsidRPr="00D14BB5">
        <w:rPr>
          <w:i/>
        </w:rPr>
        <w:t>Th</w:t>
      </w:r>
      <w:r>
        <w:rPr>
          <w:i/>
        </w:rPr>
        <w:t>eory</w:t>
      </w:r>
      <w:r w:rsidRPr="00D14BB5">
        <w:t xml:space="preserve"> 44</w:t>
      </w:r>
      <w:r>
        <w:t>, no. 2</w:t>
      </w:r>
      <w:r w:rsidRPr="00D14BB5">
        <w:t xml:space="preserve"> (2005): 240–</w:t>
      </w:r>
      <w:r>
        <w:t>2</w:t>
      </w:r>
      <w:r w:rsidRPr="00D14BB5">
        <w:t>52.</w:t>
      </w:r>
      <w:r>
        <w:t xml:space="preserve"> </w:t>
      </w:r>
      <w:r w:rsidRPr="00834BC7">
        <w:t>https://doi.org/10.1111/j.1468-2303.2005.00320.x</w:t>
      </w:r>
    </w:p>
    <w:p w14:paraId="123F51FF" w14:textId="77777777" w:rsidR="00453E73" w:rsidRPr="009C1DB8" w:rsidRDefault="00453E73" w:rsidP="00453E73">
      <w:pPr>
        <w:pStyle w:val="BibliographyEntry"/>
      </w:pPr>
      <w:r w:rsidRPr="009C1DB8">
        <w:t xml:space="preserve">Rubinoff, Lionel. “Historicity and Objectivity.” In </w:t>
      </w:r>
      <w:r w:rsidRPr="009C1DB8">
        <w:rPr>
          <w:i/>
        </w:rPr>
        <w:t xml:space="preserve">Objectivity, Method and Point of View: Essays in the Philosophy of History, </w:t>
      </w:r>
      <w:r w:rsidRPr="009C1DB8">
        <w:t xml:space="preserve">edited by W. J. van der </w:t>
      </w:r>
      <w:proofErr w:type="spellStart"/>
      <w:r w:rsidRPr="009C1DB8">
        <w:t>Dussen</w:t>
      </w:r>
      <w:proofErr w:type="spellEnd"/>
      <w:r w:rsidRPr="009C1DB8">
        <w:t xml:space="preserve"> and Lionel Rubinoff, 13</w:t>
      </w:r>
      <w:r>
        <w:t>3–1</w:t>
      </w:r>
      <w:r w:rsidRPr="009C1DB8">
        <w:t xml:space="preserve">53. Leiden: E. J. Brill, 1991. </w:t>
      </w:r>
    </w:p>
    <w:p w14:paraId="1D4BB6DB" w14:textId="77777777" w:rsidR="00453E73" w:rsidRDefault="00453E73" w:rsidP="00453E73">
      <w:pPr>
        <w:pStyle w:val="BibliographyEntry"/>
      </w:pPr>
      <w:proofErr w:type="spellStart"/>
      <w:r>
        <w:t>Sandle</w:t>
      </w:r>
      <w:proofErr w:type="spellEnd"/>
      <w:r>
        <w:t>,</w:t>
      </w:r>
      <w:r w:rsidRPr="00DA7A68">
        <w:t xml:space="preserve"> </w:t>
      </w:r>
      <w:r>
        <w:t xml:space="preserve">Mark, and William Van </w:t>
      </w:r>
      <w:proofErr w:type="spellStart"/>
      <w:r>
        <w:t>Arragon</w:t>
      </w:r>
      <w:proofErr w:type="spellEnd"/>
      <w:r>
        <w:t xml:space="preserve">. </w:t>
      </w:r>
      <w:r w:rsidRPr="00971550">
        <w:rPr>
          <w:i/>
          <w:iCs/>
        </w:rPr>
        <w:t>Re-Forming History</w:t>
      </w:r>
      <w:r>
        <w:t>. Eugene, OR: Cascade Books, 2019.</w:t>
      </w:r>
    </w:p>
    <w:p w14:paraId="7CA4C559" w14:textId="77777777" w:rsidR="00453E73" w:rsidRDefault="00453E73" w:rsidP="00453E73">
      <w:pPr>
        <w:pStyle w:val="BibliographyEntry"/>
      </w:pPr>
      <w:r>
        <w:t>Schorske,</w:t>
      </w:r>
      <w:r w:rsidRPr="00380CD2">
        <w:t xml:space="preserve"> </w:t>
      </w:r>
      <w:r>
        <w:t xml:space="preserve">Carl. E. </w:t>
      </w:r>
      <w:r w:rsidRPr="00380CD2">
        <w:rPr>
          <w:i/>
        </w:rPr>
        <w:t>Thinking with History: Explorations in the Passage to Modernism</w:t>
      </w:r>
      <w:r>
        <w:t>. Princeton, NJ: Princeton University Press, 1998.</w:t>
      </w:r>
    </w:p>
    <w:p w14:paraId="28BDA105" w14:textId="77777777" w:rsidR="00453E73" w:rsidRDefault="00453E73" w:rsidP="00453E73">
      <w:pPr>
        <w:pStyle w:val="BibliographyEntry"/>
      </w:pPr>
      <w:r>
        <w:lastRenderedPageBreak/>
        <w:t xml:space="preserve">Schuman, Howard, Robert F. Belli, and Katherine </w:t>
      </w:r>
      <w:proofErr w:type="spellStart"/>
      <w:r>
        <w:t>Bischoping</w:t>
      </w:r>
      <w:proofErr w:type="spellEnd"/>
      <w:r>
        <w:t xml:space="preserve">. “The Generational Basis of Historical Knowledge.” In </w:t>
      </w:r>
      <w:r w:rsidRPr="00637131">
        <w:rPr>
          <w:i/>
        </w:rPr>
        <w:t>Collective Memory of Political Events: Social Psychological Perspectives</w:t>
      </w:r>
      <w:r>
        <w:t xml:space="preserve">, edited by James W. Pennebaker, Dario </w:t>
      </w:r>
      <w:proofErr w:type="spellStart"/>
      <w:r>
        <w:t>Paez</w:t>
      </w:r>
      <w:proofErr w:type="spellEnd"/>
      <w:r>
        <w:t xml:space="preserve">, and </w:t>
      </w:r>
      <w:proofErr w:type="spellStart"/>
      <w:r>
        <w:t>Bernand</w:t>
      </w:r>
      <w:proofErr w:type="spellEnd"/>
      <w:r>
        <w:t xml:space="preserve"> </w:t>
      </w:r>
      <w:proofErr w:type="spellStart"/>
      <w:r>
        <w:t>Rimé</w:t>
      </w:r>
      <w:proofErr w:type="spellEnd"/>
      <w:r>
        <w:t>, 47–77. Mahwah, NJ: Erlbaum, 1997.</w:t>
      </w:r>
    </w:p>
    <w:p w14:paraId="5F65D180" w14:textId="77777777" w:rsidR="00453E73" w:rsidRDefault="00453E73" w:rsidP="00453E73">
      <w:pPr>
        <w:pStyle w:val="BibliographyEntry"/>
      </w:pPr>
      <w:r w:rsidRPr="00AC7B8A">
        <w:t xml:space="preserve">Schwartz, Barry. </w:t>
      </w:r>
      <w:r>
        <w:t>“</w:t>
      </w:r>
      <w:r w:rsidRPr="00AC7B8A">
        <w:t xml:space="preserve">How is </w:t>
      </w:r>
      <w:r>
        <w:t>H</w:t>
      </w:r>
      <w:r w:rsidRPr="00AC7B8A">
        <w:t xml:space="preserve">istory </w:t>
      </w:r>
      <w:r>
        <w:t>P</w:t>
      </w:r>
      <w:r w:rsidRPr="00AC7B8A">
        <w:t xml:space="preserve">ossible? </w:t>
      </w:r>
      <w:r>
        <w:t>G</w:t>
      </w:r>
      <w:r w:rsidRPr="00AC7B8A">
        <w:t xml:space="preserve">eorg </w:t>
      </w:r>
      <w:r>
        <w:t>S</w:t>
      </w:r>
      <w:r w:rsidRPr="00AC7B8A">
        <w:t xml:space="preserve">immel on </w:t>
      </w:r>
      <w:r>
        <w:t>E</w:t>
      </w:r>
      <w:r w:rsidRPr="00AC7B8A">
        <w:t xml:space="preserve">mpathy and </w:t>
      </w:r>
      <w:r>
        <w:t>R</w:t>
      </w:r>
      <w:r w:rsidRPr="00AC7B8A">
        <w:t>ealism.</w:t>
      </w:r>
      <w:r>
        <w:t>”</w:t>
      </w:r>
      <w:r w:rsidRPr="00AC7B8A">
        <w:t xml:space="preserve"> </w:t>
      </w:r>
      <w:r w:rsidRPr="00AC7B8A">
        <w:rPr>
          <w:i/>
        </w:rPr>
        <w:t>Journal of Classical Sociology</w:t>
      </w:r>
      <w:r w:rsidRPr="00AC7B8A">
        <w:t xml:space="preserve"> 17</w:t>
      </w:r>
      <w:r>
        <w:t>, no. 3</w:t>
      </w:r>
      <w:r w:rsidRPr="00AC7B8A">
        <w:t xml:space="preserve"> (2017): 21</w:t>
      </w:r>
      <w:r>
        <w:t>3–2</w:t>
      </w:r>
      <w:r w:rsidRPr="00AC7B8A">
        <w:t xml:space="preserve">37. </w:t>
      </w:r>
      <w:r w:rsidRPr="00342ACA">
        <w:t>https://doi.org/10.1177/1468795X17717877</w:t>
      </w:r>
    </w:p>
    <w:p w14:paraId="41772462" w14:textId="77777777" w:rsidR="00453E73" w:rsidRDefault="00453E73" w:rsidP="00453E73">
      <w:pPr>
        <w:pStyle w:val="BibliographyEntry"/>
      </w:pPr>
      <w:r>
        <w:t xml:space="preserve">Thompson, Paul. </w:t>
      </w:r>
      <w:r w:rsidRPr="007D67A1">
        <w:rPr>
          <w:i/>
        </w:rPr>
        <w:t>The Voice of the Past: Oral History</w:t>
      </w:r>
      <w:r>
        <w:t>. 3</w:t>
      </w:r>
      <w:r w:rsidRPr="001E749F">
        <w:rPr>
          <w:vertAlign w:val="superscript"/>
        </w:rPr>
        <w:t>rd</w:t>
      </w:r>
      <w:r>
        <w:t xml:space="preserve"> ed. Oxford: Oxford University Press, 2000.</w:t>
      </w:r>
    </w:p>
    <w:p w14:paraId="46C7DF3D" w14:textId="77777777" w:rsidR="00453E73" w:rsidRDefault="00453E73" w:rsidP="00453E73">
      <w:pPr>
        <w:pStyle w:val="BibliographyEntry"/>
      </w:pPr>
      <w:proofErr w:type="spellStart"/>
      <w:r w:rsidRPr="009C1DB8">
        <w:t>Topolski</w:t>
      </w:r>
      <w:proofErr w:type="spellEnd"/>
      <w:r w:rsidRPr="009C1DB8">
        <w:t xml:space="preserve">, Jerzy. </w:t>
      </w:r>
      <w:proofErr w:type="gramStart"/>
      <w:r w:rsidRPr="009C1DB8">
        <w:rPr>
          <w:i/>
        </w:rPr>
        <w:t>Methodology of History</w:t>
      </w:r>
      <w:r w:rsidRPr="007E32D0">
        <w:rPr>
          <w:iCs/>
        </w:rPr>
        <w:t>,</w:t>
      </w:r>
      <w:proofErr w:type="gramEnd"/>
      <w:r w:rsidRPr="007E32D0">
        <w:rPr>
          <w:iCs/>
        </w:rPr>
        <w:t xml:space="preserve"> t</w:t>
      </w:r>
      <w:r w:rsidRPr="009C1DB8">
        <w:t xml:space="preserve">ranslated by </w:t>
      </w:r>
      <w:proofErr w:type="spellStart"/>
      <w:r w:rsidRPr="009C1DB8">
        <w:t>Olgierd</w:t>
      </w:r>
      <w:proofErr w:type="spellEnd"/>
      <w:r w:rsidRPr="009C1DB8">
        <w:t xml:space="preserve"> </w:t>
      </w:r>
      <w:proofErr w:type="spellStart"/>
      <w:r w:rsidRPr="009C1DB8">
        <w:t>Wojtasiewicz</w:t>
      </w:r>
      <w:proofErr w:type="spellEnd"/>
      <w:r w:rsidRPr="009C1DB8">
        <w:t xml:space="preserve">. Dordrecht: D. Riedel, 1973. </w:t>
      </w:r>
    </w:p>
    <w:p w14:paraId="3F606504" w14:textId="77777777" w:rsidR="00453E73" w:rsidRDefault="00453E73" w:rsidP="00453E73">
      <w:pPr>
        <w:pStyle w:val="BibliographyEntry"/>
      </w:pPr>
      <w:r w:rsidRPr="008A7B44">
        <w:t xml:space="preserve">Tonkin, Elizabeth. </w:t>
      </w:r>
      <w:r w:rsidRPr="0090281E">
        <w:rPr>
          <w:i/>
        </w:rPr>
        <w:t>Narrating Our Pasts: The Social Construction of Oral History</w:t>
      </w:r>
      <w:r w:rsidRPr="008A7B44">
        <w:t xml:space="preserve">. </w:t>
      </w:r>
      <w:r w:rsidRPr="00924940">
        <w:t>CSOLC 22. Cambridge:</w:t>
      </w:r>
      <w:r w:rsidRPr="008A7B44">
        <w:t xml:space="preserve"> Cambridge University Press, 199</w:t>
      </w:r>
      <w:r>
        <w:t>2</w:t>
      </w:r>
      <w:r w:rsidRPr="008A7B44">
        <w:t xml:space="preserve">. </w:t>
      </w:r>
    </w:p>
    <w:p w14:paraId="545C6E19" w14:textId="77777777" w:rsidR="00453E73" w:rsidRDefault="00453E73" w:rsidP="00453E73">
      <w:pPr>
        <w:pStyle w:val="BibliographyEntry"/>
      </w:pPr>
      <w:r w:rsidRPr="004E05B7">
        <w:t>Tosh</w:t>
      </w:r>
      <w:r>
        <w:t xml:space="preserve">, </w:t>
      </w:r>
      <w:r w:rsidRPr="004E05B7">
        <w:t>John</w:t>
      </w:r>
      <w:r>
        <w:t>, and</w:t>
      </w:r>
      <w:r w:rsidRPr="004E05B7">
        <w:t xml:space="preserve"> </w:t>
      </w:r>
      <w:proofErr w:type="spellStart"/>
      <w:r w:rsidRPr="004E05B7">
        <w:t>Seán</w:t>
      </w:r>
      <w:proofErr w:type="spellEnd"/>
      <w:r w:rsidRPr="004E05B7">
        <w:t xml:space="preserve"> Lang</w:t>
      </w:r>
      <w:r>
        <w:t>.</w:t>
      </w:r>
      <w:r w:rsidRPr="004E05B7">
        <w:t xml:space="preserve"> </w:t>
      </w:r>
      <w:r w:rsidRPr="007055DA">
        <w:rPr>
          <w:i/>
        </w:rPr>
        <w:t>The Pursuit of History: Aims, Methods and New Directions in the Study of Modern History</w:t>
      </w:r>
      <w:r>
        <w:t>.</w:t>
      </w:r>
      <w:r w:rsidRPr="004E05B7">
        <w:t xml:space="preserve"> 4</w:t>
      </w:r>
      <w:r w:rsidRPr="007055DA">
        <w:rPr>
          <w:vertAlign w:val="superscript"/>
        </w:rPr>
        <w:t>th</w:t>
      </w:r>
      <w:r>
        <w:t xml:space="preserve"> </w:t>
      </w:r>
      <w:r w:rsidRPr="004E05B7">
        <w:t>ed. London: Longman, 2006</w:t>
      </w:r>
      <w:r>
        <w:t>.</w:t>
      </w:r>
    </w:p>
    <w:p w14:paraId="2179051E" w14:textId="77777777" w:rsidR="00453E73" w:rsidRPr="009C1DB8" w:rsidRDefault="00453E73" w:rsidP="00453E73">
      <w:pPr>
        <w:pStyle w:val="BibliographyEntry"/>
      </w:pPr>
      <w:proofErr w:type="spellStart"/>
      <w:r w:rsidRPr="009C1DB8">
        <w:t>Troeltsch</w:t>
      </w:r>
      <w:proofErr w:type="spellEnd"/>
      <w:r w:rsidRPr="009C1DB8">
        <w:t xml:space="preserve">, Ernst. </w:t>
      </w:r>
      <w:proofErr w:type="gramStart"/>
      <w:r w:rsidRPr="009C1DB8">
        <w:rPr>
          <w:i/>
        </w:rPr>
        <w:t>Religion in History</w:t>
      </w:r>
      <w:r>
        <w:rPr>
          <w:iCs/>
        </w:rPr>
        <w:t>,</w:t>
      </w:r>
      <w:proofErr w:type="gramEnd"/>
      <w:r>
        <w:rPr>
          <w:iCs/>
        </w:rPr>
        <w:t xml:space="preserve"> t</w:t>
      </w:r>
      <w:r w:rsidRPr="009C1DB8">
        <w:t xml:space="preserve">ranslated by James Luther Adams and Walter F. </w:t>
      </w:r>
      <w:proofErr w:type="spellStart"/>
      <w:r w:rsidRPr="009C1DB8">
        <w:t>Bense</w:t>
      </w:r>
      <w:proofErr w:type="spellEnd"/>
      <w:r w:rsidRPr="009C1DB8">
        <w:t>. Minneapolis</w:t>
      </w:r>
      <w:r>
        <w:t>, MN</w:t>
      </w:r>
      <w:r w:rsidRPr="009C1DB8">
        <w:t>: Fortress Press, 1991.</w:t>
      </w:r>
    </w:p>
    <w:p w14:paraId="3E1113CB" w14:textId="77777777" w:rsidR="00453E73" w:rsidRDefault="00453E73" w:rsidP="00453E73">
      <w:pPr>
        <w:pStyle w:val="BibliographyEntry"/>
      </w:pPr>
      <w:proofErr w:type="spellStart"/>
      <w:r>
        <w:t>Trueman</w:t>
      </w:r>
      <w:proofErr w:type="spellEnd"/>
      <w:r>
        <w:t xml:space="preserve">, Carl R. </w:t>
      </w:r>
      <w:r w:rsidRPr="00F76CD9">
        <w:rPr>
          <w:i/>
          <w:iCs/>
        </w:rPr>
        <w:t>Histories and Fallacies: Problems Faced in the Writing of History</w:t>
      </w:r>
      <w:r>
        <w:t>. Wheaton, IL: Crossway, 2010.</w:t>
      </w:r>
    </w:p>
    <w:p w14:paraId="021A70D0"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Tucker, </w:t>
      </w:r>
      <w:proofErr w:type="spellStart"/>
      <w:r w:rsidRPr="00111C04">
        <w:rPr>
          <w:rFonts w:ascii="Arial" w:hAnsi="Arial" w:cs="Arial"/>
          <w:sz w:val="21"/>
          <w:szCs w:val="21"/>
        </w:rPr>
        <w:t>Aviezer</w:t>
      </w:r>
      <w:proofErr w:type="spellEnd"/>
      <w:r w:rsidRPr="00111C04">
        <w:rPr>
          <w:rFonts w:ascii="Arial" w:hAnsi="Arial" w:cs="Arial"/>
          <w:sz w:val="21"/>
          <w:szCs w:val="21"/>
        </w:rPr>
        <w:t xml:space="preserve">. “Introduction.” </w:t>
      </w:r>
      <w:r w:rsidRPr="00111C04">
        <w:rPr>
          <w:rFonts w:ascii="Arial" w:hAnsi="Arial" w:cs="Arial"/>
          <w:i/>
          <w:iCs/>
          <w:sz w:val="21"/>
          <w:szCs w:val="21"/>
        </w:rPr>
        <w:t>A Companion to the Philosophy of History and Historiography</w:t>
      </w:r>
      <w:r w:rsidRPr="00111C04">
        <w:rPr>
          <w:rFonts w:ascii="Arial" w:hAnsi="Arial" w:cs="Arial"/>
          <w:sz w:val="21"/>
          <w:szCs w:val="21"/>
        </w:rPr>
        <w:t xml:space="preserve">, edited by </w:t>
      </w:r>
      <w:proofErr w:type="spellStart"/>
      <w:r w:rsidRPr="00111C04">
        <w:rPr>
          <w:rFonts w:ascii="Arial" w:hAnsi="Arial" w:cs="Arial"/>
          <w:sz w:val="21"/>
          <w:szCs w:val="21"/>
        </w:rPr>
        <w:t>Aviezer</w:t>
      </w:r>
      <w:proofErr w:type="spellEnd"/>
      <w:r w:rsidRPr="00111C04">
        <w:rPr>
          <w:rFonts w:ascii="Arial" w:hAnsi="Arial" w:cs="Arial"/>
          <w:sz w:val="21"/>
          <w:szCs w:val="21"/>
        </w:rPr>
        <w:t xml:space="preserve"> Tucker. </w:t>
      </w:r>
      <w:r w:rsidRPr="00111C04">
        <w:rPr>
          <w:rFonts w:ascii="Arial" w:hAnsi="Arial" w:cs="Arial"/>
          <w:i/>
          <w:iCs/>
          <w:sz w:val="21"/>
          <w:szCs w:val="21"/>
        </w:rPr>
        <w:t>Blackwell Companions to Philosophy</w:t>
      </w:r>
      <w:r w:rsidRPr="00111C04">
        <w:rPr>
          <w:rFonts w:ascii="Arial" w:hAnsi="Arial" w:cs="Arial"/>
          <w:sz w:val="21"/>
          <w:szCs w:val="21"/>
        </w:rPr>
        <w:t xml:space="preserve"> 41. Oxford: Wiley-Blackwell, 2009. 1-6.</w:t>
      </w:r>
    </w:p>
    <w:p w14:paraId="20CAC596" w14:textId="77777777" w:rsidR="00453E73" w:rsidRPr="009C1DB8" w:rsidRDefault="00453E73" w:rsidP="00453E73">
      <w:pPr>
        <w:pStyle w:val="BibliographyEntry"/>
      </w:pPr>
      <w:r w:rsidRPr="009C1DB8">
        <w:t xml:space="preserve">Walsh, W. H. </w:t>
      </w:r>
      <w:r w:rsidRPr="009C1DB8">
        <w:rPr>
          <w:i/>
        </w:rPr>
        <w:t xml:space="preserve">An Introduction to the Philosophy of History. </w:t>
      </w:r>
      <w:r w:rsidRPr="009C1DB8">
        <w:t xml:space="preserve">London: Hutchinson &amp; Co., 1967. </w:t>
      </w:r>
    </w:p>
    <w:p w14:paraId="4B6682E6" w14:textId="77777777" w:rsidR="00371B10" w:rsidRPr="00111C04" w:rsidRDefault="00371B10" w:rsidP="00111C04">
      <w:pPr>
        <w:pStyle w:val="BibliographyEntry"/>
        <w:ind w:left="851"/>
        <w:rPr>
          <w:rFonts w:ascii="Arial" w:hAnsi="Arial" w:cs="Arial"/>
          <w:sz w:val="21"/>
          <w:szCs w:val="21"/>
        </w:rPr>
      </w:pPr>
      <w:r w:rsidRPr="00111C04">
        <w:rPr>
          <w:rFonts w:ascii="Arial" w:hAnsi="Arial" w:cs="Arial"/>
          <w:sz w:val="21"/>
          <w:szCs w:val="21"/>
        </w:rPr>
        <w:t xml:space="preserve">Webb, Robert L. “The Historical Enterprise and Historical Jesus Research.” In </w:t>
      </w:r>
      <w:r w:rsidRPr="00111C04">
        <w:rPr>
          <w:rFonts w:ascii="Arial" w:hAnsi="Arial" w:cs="Arial"/>
          <w:i/>
          <w:sz w:val="21"/>
          <w:szCs w:val="21"/>
        </w:rPr>
        <w:t>Key Events in the Life of the Historical Jesus: A Collaborative Exploration of Context and Coherence</w:t>
      </w:r>
      <w:r w:rsidRPr="00111C04">
        <w:rPr>
          <w:rFonts w:ascii="Arial" w:hAnsi="Arial" w:cs="Arial"/>
          <w:sz w:val="21"/>
          <w:szCs w:val="21"/>
        </w:rPr>
        <w:t>, edited by Darrell L. Bock, and Robert L. Webb, 9-93. Grand Rapids, MI: Eerdmans, 2010.</w:t>
      </w:r>
    </w:p>
    <w:p w14:paraId="36B89942" w14:textId="77777777" w:rsidR="00371B10" w:rsidRPr="00111C04" w:rsidRDefault="00371B10" w:rsidP="00111C04">
      <w:pPr>
        <w:pStyle w:val="BibliographyEntry"/>
        <w:ind w:left="851"/>
        <w:rPr>
          <w:rFonts w:ascii="Arial" w:hAnsi="Arial" w:cs="Arial"/>
          <w:sz w:val="21"/>
          <w:szCs w:val="21"/>
        </w:rPr>
      </w:pPr>
      <w:proofErr w:type="spellStart"/>
      <w:r w:rsidRPr="00111C04">
        <w:rPr>
          <w:rFonts w:ascii="Arial" w:hAnsi="Arial" w:cs="Arial"/>
          <w:sz w:val="21"/>
          <w:szCs w:val="21"/>
        </w:rPr>
        <w:t>Willitts</w:t>
      </w:r>
      <w:proofErr w:type="spellEnd"/>
      <w:r w:rsidRPr="00111C04">
        <w:rPr>
          <w:rFonts w:ascii="Arial" w:hAnsi="Arial" w:cs="Arial"/>
          <w:sz w:val="21"/>
          <w:szCs w:val="21"/>
        </w:rPr>
        <w:t xml:space="preserve">, Joel. “Presuppositions and Procedures in the Study of the ‘Historical Jesus’: </w:t>
      </w:r>
      <w:proofErr w:type="gramStart"/>
      <w:r w:rsidRPr="00111C04">
        <w:rPr>
          <w:rFonts w:ascii="Arial" w:hAnsi="Arial" w:cs="Arial"/>
          <w:sz w:val="21"/>
          <w:szCs w:val="21"/>
        </w:rPr>
        <w:t>Or,</w:t>
      </w:r>
      <w:proofErr w:type="gramEnd"/>
      <w:r w:rsidRPr="00111C04">
        <w:rPr>
          <w:rFonts w:ascii="Arial" w:hAnsi="Arial" w:cs="Arial"/>
          <w:sz w:val="21"/>
          <w:szCs w:val="21"/>
        </w:rPr>
        <w:t xml:space="preserve"> Why I Decided Not to be a ‘Historical Jesus’ Scholar,” </w:t>
      </w:r>
      <w:r w:rsidRPr="00111C04">
        <w:rPr>
          <w:rFonts w:ascii="Arial" w:hAnsi="Arial" w:cs="Arial"/>
          <w:i/>
          <w:sz w:val="21"/>
          <w:szCs w:val="21"/>
        </w:rPr>
        <w:t>JSHJ</w:t>
      </w:r>
      <w:r w:rsidRPr="00111C04">
        <w:rPr>
          <w:rFonts w:ascii="Arial" w:hAnsi="Arial" w:cs="Arial"/>
          <w:sz w:val="21"/>
          <w:szCs w:val="21"/>
        </w:rPr>
        <w:t xml:space="preserve"> 3 (2005): 61–108.</w:t>
      </w:r>
    </w:p>
    <w:p w14:paraId="6BE953EC" w14:textId="77777777" w:rsidR="00371B10" w:rsidRPr="00111C04" w:rsidRDefault="00371B10" w:rsidP="00111C04">
      <w:pPr>
        <w:ind w:left="851" w:firstLine="0"/>
        <w:rPr>
          <w:sz w:val="21"/>
          <w:szCs w:val="21"/>
        </w:rPr>
      </w:pPr>
    </w:p>
    <w:sectPr w:rsidR="00371B10" w:rsidRPr="00111C04" w:rsidSect="00700BFA">
      <w:footerReference w:type="default" r:id="rId8"/>
      <w:footerReference w:type="first" r:id="rId9"/>
      <w:pgSz w:w="11907" w:h="16839" w:code="9"/>
      <w:pgMar w:top="907" w:right="1021" w:bottom="907" w:left="1021" w:header="1077" w:footer="107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176FF" w14:textId="77777777" w:rsidR="0078018F" w:rsidRDefault="0078018F" w:rsidP="00812D8B">
      <w:pPr>
        <w:spacing w:line="240" w:lineRule="auto"/>
      </w:pPr>
      <w:r>
        <w:separator/>
      </w:r>
    </w:p>
  </w:endnote>
  <w:endnote w:type="continuationSeparator" w:id="0">
    <w:p w14:paraId="045C39E6" w14:textId="77777777" w:rsidR="0078018F" w:rsidRDefault="0078018F" w:rsidP="00812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51034859"/>
      <w:docPartObj>
        <w:docPartGallery w:val="Page Numbers (Bottom of Page)"/>
        <w:docPartUnique/>
      </w:docPartObj>
    </w:sdtPr>
    <w:sdtEndPr>
      <w:rPr>
        <w:noProof/>
      </w:rPr>
    </w:sdtEndPr>
    <w:sdtContent>
      <w:p w14:paraId="32772486" w14:textId="77777777" w:rsidR="00812D8B" w:rsidRPr="00AD3FAC" w:rsidRDefault="00AD3FAC" w:rsidP="00AD3FAC">
        <w:pPr>
          <w:pStyle w:val="Footer"/>
          <w:rPr>
            <w:sz w:val="20"/>
            <w:szCs w:val="20"/>
          </w:rPr>
        </w:pPr>
        <w:r w:rsidRPr="00AD3FAC">
          <w:rPr>
            <w:sz w:val="20"/>
            <w:szCs w:val="20"/>
          </w:rPr>
          <w:fldChar w:fldCharType="begin"/>
        </w:r>
        <w:r w:rsidRPr="00AD3FAC">
          <w:rPr>
            <w:sz w:val="20"/>
            <w:szCs w:val="20"/>
          </w:rPr>
          <w:instrText xml:space="preserve"> PAGE   \* MERGEFORMAT </w:instrText>
        </w:r>
        <w:r w:rsidRPr="00AD3FAC">
          <w:rPr>
            <w:sz w:val="20"/>
            <w:szCs w:val="20"/>
          </w:rPr>
          <w:fldChar w:fldCharType="separate"/>
        </w:r>
        <w:r w:rsidR="00E37C05">
          <w:rPr>
            <w:noProof/>
            <w:sz w:val="20"/>
            <w:szCs w:val="20"/>
          </w:rPr>
          <w:t>4</w:t>
        </w:r>
        <w:r w:rsidRPr="00AD3FA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0"/>
        <w:szCs w:val="20"/>
      </w:rPr>
      <w:id w:val="-1462572545"/>
      <w:docPartObj>
        <w:docPartGallery w:val="Page Numbers (Bottom of Page)"/>
        <w:docPartUnique/>
      </w:docPartObj>
    </w:sdtPr>
    <w:sdtEndPr>
      <w:rPr>
        <w:noProof/>
      </w:rPr>
    </w:sdtEndPr>
    <w:sdtContent>
      <w:p w14:paraId="49768667" w14:textId="77777777" w:rsidR="00AD3FAC" w:rsidRPr="008F74E9" w:rsidRDefault="00AD3FAC" w:rsidP="00AD3FAC">
        <w:pPr>
          <w:pStyle w:val="Footer"/>
          <w:rPr>
            <w:rFonts w:asciiTheme="minorHAnsi" w:hAnsiTheme="minorHAnsi" w:cstheme="minorHAnsi"/>
            <w:sz w:val="20"/>
            <w:szCs w:val="20"/>
          </w:rPr>
        </w:pPr>
        <w:r w:rsidRPr="008F74E9">
          <w:rPr>
            <w:rFonts w:asciiTheme="minorHAnsi" w:hAnsiTheme="minorHAnsi" w:cstheme="minorHAnsi"/>
            <w:sz w:val="20"/>
            <w:szCs w:val="20"/>
          </w:rPr>
          <w:fldChar w:fldCharType="begin"/>
        </w:r>
        <w:r w:rsidRPr="008F74E9">
          <w:rPr>
            <w:rFonts w:asciiTheme="minorHAnsi" w:hAnsiTheme="minorHAnsi" w:cstheme="minorHAnsi"/>
            <w:sz w:val="20"/>
            <w:szCs w:val="20"/>
          </w:rPr>
          <w:instrText xml:space="preserve"> PAGE   \* MERGEFORMAT </w:instrText>
        </w:r>
        <w:r w:rsidRPr="008F74E9">
          <w:rPr>
            <w:rFonts w:asciiTheme="minorHAnsi" w:hAnsiTheme="minorHAnsi" w:cstheme="minorHAnsi"/>
            <w:sz w:val="20"/>
            <w:szCs w:val="20"/>
          </w:rPr>
          <w:fldChar w:fldCharType="separate"/>
        </w:r>
        <w:r w:rsidR="00E37C05" w:rsidRPr="008F74E9">
          <w:rPr>
            <w:rFonts w:asciiTheme="minorHAnsi" w:hAnsiTheme="minorHAnsi" w:cstheme="minorHAnsi"/>
            <w:noProof/>
            <w:sz w:val="20"/>
            <w:szCs w:val="20"/>
          </w:rPr>
          <w:t>1</w:t>
        </w:r>
        <w:r w:rsidRPr="008F74E9">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D42B6" w14:textId="77777777" w:rsidR="0078018F" w:rsidRDefault="0078018F" w:rsidP="00812D8B">
      <w:pPr>
        <w:spacing w:line="240" w:lineRule="auto"/>
      </w:pPr>
      <w:r>
        <w:separator/>
      </w:r>
    </w:p>
  </w:footnote>
  <w:footnote w:type="continuationSeparator" w:id="0">
    <w:p w14:paraId="4D625D5D" w14:textId="77777777" w:rsidR="0078018F" w:rsidRDefault="0078018F" w:rsidP="00812D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127A"/>
    <w:multiLevelType w:val="hybridMultilevel"/>
    <w:tmpl w:val="1F90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34103"/>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EE055E"/>
    <w:multiLevelType w:val="hybridMultilevel"/>
    <w:tmpl w:val="EFEA78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365C3F"/>
    <w:multiLevelType w:val="hybridMultilevel"/>
    <w:tmpl w:val="3EA25A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A5A3332"/>
    <w:multiLevelType w:val="hybridMultilevel"/>
    <w:tmpl w:val="7404303E"/>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EE5986"/>
    <w:multiLevelType w:val="hybridMultilevel"/>
    <w:tmpl w:val="618E118C"/>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B5A81"/>
    <w:multiLevelType w:val="hybridMultilevel"/>
    <w:tmpl w:val="BFEC4744"/>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8" w15:restartNumberingAfterBreak="0">
    <w:nsid w:val="2AC51224"/>
    <w:multiLevelType w:val="hybridMultilevel"/>
    <w:tmpl w:val="49C43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67C7D"/>
    <w:multiLevelType w:val="hybridMultilevel"/>
    <w:tmpl w:val="4BAEE20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CF029C3"/>
    <w:multiLevelType w:val="hybridMultilevel"/>
    <w:tmpl w:val="67E88B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031986"/>
    <w:multiLevelType w:val="hybridMultilevel"/>
    <w:tmpl w:val="9A0AED6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D4B37F1"/>
    <w:multiLevelType w:val="hybridMultilevel"/>
    <w:tmpl w:val="B37E5E0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EB61FEF"/>
    <w:multiLevelType w:val="hybridMultilevel"/>
    <w:tmpl w:val="8DA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771A2"/>
    <w:multiLevelType w:val="hybridMultilevel"/>
    <w:tmpl w:val="23A6DF54"/>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B7B70"/>
    <w:multiLevelType w:val="hybridMultilevel"/>
    <w:tmpl w:val="B27A99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7E0E66"/>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17404D"/>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DF2230"/>
    <w:multiLevelType w:val="hybridMultilevel"/>
    <w:tmpl w:val="78305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3F5F6E"/>
    <w:multiLevelType w:val="hybridMultilevel"/>
    <w:tmpl w:val="81621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A44235"/>
    <w:multiLevelType w:val="hybridMultilevel"/>
    <w:tmpl w:val="7C08BCA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18A671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AE35CE"/>
    <w:multiLevelType w:val="hybridMultilevel"/>
    <w:tmpl w:val="C00E8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4" w15:restartNumberingAfterBreak="0">
    <w:nsid w:val="57E66370"/>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A3717A"/>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9A304D"/>
    <w:multiLevelType w:val="hybridMultilevel"/>
    <w:tmpl w:val="7882A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5F54DA"/>
    <w:multiLevelType w:val="hybridMultilevel"/>
    <w:tmpl w:val="E4868C10"/>
    <w:lvl w:ilvl="0" w:tplc="DC4A8642">
      <w:start w:val="1"/>
      <w:numFmt w:val="bullet"/>
      <w:lvlText w:val="•"/>
      <w:lvlJc w:val="left"/>
      <w:pPr>
        <w:tabs>
          <w:tab w:val="num" w:pos="720"/>
        </w:tabs>
        <w:ind w:left="720" w:hanging="360"/>
      </w:pPr>
      <w:rPr>
        <w:rFonts w:ascii="Arial" w:hAnsi="Arial" w:hint="default"/>
      </w:rPr>
    </w:lvl>
    <w:lvl w:ilvl="1" w:tplc="2ACACCB0" w:tentative="1">
      <w:start w:val="1"/>
      <w:numFmt w:val="bullet"/>
      <w:lvlText w:val="•"/>
      <w:lvlJc w:val="left"/>
      <w:pPr>
        <w:tabs>
          <w:tab w:val="num" w:pos="1440"/>
        </w:tabs>
        <w:ind w:left="1440" w:hanging="360"/>
      </w:pPr>
      <w:rPr>
        <w:rFonts w:ascii="Arial" w:hAnsi="Arial" w:hint="default"/>
      </w:rPr>
    </w:lvl>
    <w:lvl w:ilvl="2" w:tplc="F0F0D31E" w:tentative="1">
      <w:start w:val="1"/>
      <w:numFmt w:val="bullet"/>
      <w:lvlText w:val="•"/>
      <w:lvlJc w:val="left"/>
      <w:pPr>
        <w:tabs>
          <w:tab w:val="num" w:pos="2160"/>
        </w:tabs>
        <w:ind w:left="2160" w:hanging="360"/>
      </w:pPr>
      <w:rPr>
        <w:rFonts w:ascii="Arial" w:hAnsi="Arial" w:hint="default"/>
      </w:rPr>
    </w:lvl>
    <w:lvl w:ilvl="3" w:tplc="B9E4DC12" w:tentative="1">
      <w:start w:val="1"/>
      <w:numFmt w:val="bullet"/>
      <w:lvlText w:val="•"/>
      <w:lvlJc w:val="left"/>
      <w:pPr>
        <w:tabs>
          <w:tab w:val="num" w:pos="2880"/>
        </w:tabs>
        <w:ind w:left="2880" w:hanging="360"/>
      </w:pPr>
      <w:rPr>
        <w:rFonts w:ascii="Arial" w:hAnsi="Arial" w:hint="default"/>
      </w:rPr>
    </w:lvl>
    <w:lvl w:ilvl="4" w:tplc="23247776" w:tentative="1">
      <w:start w:val="1"/>
      <w:numFmt w:val="bullet"/>
      <w:lvlText w:val="•"/>
      <w:lvlJc w:val="left"/>
      <w:pPr>
        <w:tabs>
          <w:tab w:val="num" w:pos="3600"/>
        </w:tabs>
        <w:ind w:left="3600" w:hanging="360"/>
      </w:pPr>
      <w:rPr>
        <w:rFonts w:ascii="Arial" w:hAnsi="Arial" w:hint="default"/>
      </w:rPr>
    </w:lvl>
    <w:lvl w:ilvl="5" w:tplc="5778260A" w:tentative="1">
      <w:start w:val="1"/>
      <w:numFmt w:val="bullet"/>
      <w:lvlText w:val="•"/>
      <w:lvlJc w:val="left"/>
      <w:pPr>
        <w:tabs>
          <w:tab w:val="num" w:pos="4320"/>
        </w:tabs>
        <w:ind w:left="4320" w:hanging="360"/>
      </w:pPr>
      <w:rPr>
        <w:rFonts w:ascii="Arial" w:hAnsi="Arial" w:hint="default"/>
      </w:rPr>
    </w:lvl>
    <w:lvl w:ilvl="6" w:tplc="D1008DE8" w:tentative="1">
      <w:start w:val="1"/>
      <w:numFmt w:val="bullet"/>
      <w:lvlText w:val="•"/>
      <w:lvlJc w:val="left"/>
      <w:pPr>
        <w:tabs>
          <w:tab w:val="num" w:pos="5040"/>
        </w:tabs>
        <w:ind w:left="5040" w:hanging="360"/>
      </w:pPr>
      <w:rPr>
        <w:rFonts w:ascii="Arial" w:hAnsi="Arial" w:hint="default"/>
      </w:rPr>
    </w:lvl>
    <w:lvl w:ilvl="7" w:tplc="6C44EF9C" w:tentative="1">
      <w:start w:val="1"/>
      <w:numFmt w:val="bullet"/>
      <w:lvlText w:val="•"/>
      <w:lvlJc w:val="left"/>
      <w:pPr>
        <w:tabs>
          <w:tab w:val="num" w:pos="5760"/>
        </w:tabs>
        <w:ind w:left="5760" w:hanging="360"/>
      </w:pPr>
      <w:rPr>
        <w:rFonts w:ascii="Arial" w:hAnsi="Arial" w:hint="default"/>
      </w:rPr>
    </w:lvl>
    <w:lvl w:ilvl="8" w:tplc="CC9649A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A51748"/>
    <w:multiLevelType w:val="hybridMultilevel"/>
    <w:tmpl w:val="CCD2157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0" w15:restartNumberingAfterBreak="0">
    <w:nsid w:val="6F561195"/>
    <w:multiLevelType w:val="hybridMultilevel"/>
    <w:tmpl w:val="607C03B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2" w15:restartNumberingAfterBreak="0">
    <w:nsid w:val="753E1CD2"/>
    <w:multiLevelType w:val="hybridMultilevel"/>
    <w:tmpl w:val="86F0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14108"/>
    <w:multiLevelType w:val="hybridMultilevel"/>
    <w:tmpl w:val="1E2030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9B3051"/>
    <w:multiLevelType w:val="hybridMultilevel"/>
    <w:tmpl w:val="8A242D7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C926EE"/>
    <w:multiLevelType w:val="hybridMultilevel"/>
    <w:tmpl w:val="7DAA4C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23"/>
  </w:num>
  <w:num w:numId="4">
    <w:abstractNumId w:val="7"/>
  </w:num>
  <w:num w:numId="5">
    <w:abstractNumId w:val="13"/>
  </w:num>
  <w:num w:numId="6">
    <w:abstractNumId w:val="27"/>
  </w:num>
  <w:num w:numId="7">
    <w:abstractNumId w:val="26"/>
  </w:num>
  <w:num w:numId="8">
    <w:abstractNumId w:val="34"/>
  </w:num>
  <w:num w:numId="9">
    <w:abstractNumId w:val="19"/>
  </w:num>
  <w:num w:numId="10">
    <w:abstractNumId w:val="15"/>
  </w:num>
  <w:num w:numId="11">
    <w:abstractNumId w:val="24"/>
  </w:num>
  <w:num w:numId="12">
    <w:abstractNumId w:val="2"/>
  </w:num>
  <w:num w:numId="13">
    <w:abstractNumId w:val="12"/>
  </w:num>
  <w:num w:numId="14">
    <w:abstractNumId w:val="1"/>
  </w:num>
  <w:num w:numId="15">
    <w:abstractNumId w:val="21"/>
  </w:num>
  <w:num w:numId="16">
    <w:abstractNumId w:val="33"/>
  </w:num>
  <w:num w:numId="17">
    <w:abstractNumId w:val="17"/>
  </w:num>
  <w:num w:numId="18">
    <w:abstractNumId w:val="25"/>
  </w:num>
  <w:num w:numId="19">
    <w:abstractNumId w:val="16"/>
  </w:num>
  <w:num w:numId="20">
    <w:abstractNumId w:val="30"/>
  </w:num>
  <w:num w:numId="21">
    <w:abstractNumId w:val="10"/>
  </w:num>
  <w:num w:numId="22">
    <w:abstractNumId w:val="3"/>
  </w:num>
  <w:num w:numId="23">
    <w:abstractNumId w:val="18"/>
  </w:num>
  <w:num w:numId="24">
    <w:abstractNumId w:val="4"/>
  </w:num>
  <w:num w:numId="25">
    <w:abstractNumId w:val="9"/>
  </w:num>
  <w:num w:numId="26">
    <w:abstractNumId w:val="28"/>
  </w:num>
  <w:num w:numId="27">
    <w:abstractNumId w:val="11"/>
  </w:num>
  <w:num w:numId="28">
    <w:abstractNumId w:val="20"/>
  </w:num>
  <w:num w:numId="29">
    <w:abstractNumId w:val="0"/>
  </w:num>
  <w:num w:numId="30">
    <w:abstractNumId w:val="8"/>
  </w:num>
  <w:num w:numId="31">
    <w:abstractNumId w:val="6"/>
  </w:num>
  <w:num w:numId="32">
    <w:abstractNumId w:val="14"/>
  </w:num>
  <w:num w:numId="33">
    <w:abstractNumId w:val="5"/>
  </w:num>
  <w:num w:numId="34">
    <w:abstractNumId w:val="32"/>
  </w:num>
  <w:num w:numId="35">
    <w:abstractNumId w:val="3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A0MTM3sTQyNTExMDNQ0lEKTi0uzszPAykwrAUAyQGf2SwAAAA="/>
  </w:docVars>
  <w:rsids>
    <w:rsidRoot w:val="002B5D82"/>
    <w:rsid w:val="00023AC9"/>
    <w:rsid w:val="00032D7E"/>
    <w:rsid w:val="00060B2A"/>
    <w:rsid w:val="00062F00"/>
    <w:rsid w:val="000B7043"/>
    <w:rsid w:val="000C6952"/>
    <w:rsid w:val="000C76E8"/>
    <w:rsid w:val="000D0E51"/>
    <w:rsid w:val="00111AD6"/>
    <w:rsid w:val="00111C04"/>
    <w:rsid w:val="00116823"/>
    <w:rsid w:val="00153685"/>
    <w:rsid w:val="00164803"/>
    <w:rsid w:val="00164DD9"/>
    <w:rsid w:val="0017195E"/>
    <w:rsid w:val="001779F3"/>
    <w:rsid w:val="00187E24"/>
    <w:rsid w:val="001A7268"/>
    <w:rsid w:val="001B3A9A"/>
    <w:rsid w:val="001B4346"/>
    <w:rsid w:val="001B4A31"/>
    <w:rsid w:val="001C30D8"/>
    <w:rsid w:val="00201BC1"/>
    <w:rsid w:val="00234EA8"/>
    <w:rsid w:val="00243B95"/>
    <w:rsid w:val="00246530"/>
    <w:rsid w:val="00261FDA"/>
    <w:rsid w:val="0026580E"/>
    <w:rsid w:val="00276F76"/>
    <w:rsid w:val="00283D90"/>
    <w:rsid w:val="002B272B"/>
    <w:rsid w:val="002B4194"/>
    <w:rsid w:val="002B5D82"/>
    <w:rsid w:val="002C0582"/>
    <w:rsid w:val="002E4D4A"/>
    <w:rsid w:val="00312287"/>
    <w:rsid w:val="00343B21"/>
    <w:rsid w:val="00355102"/>
    <w:rsid w:val="00371A2D"/>
    <w:rsid w:val="00371B10"/>
    <w:rsid w:val="00380600"/>
    <w:rsid w:val="00386F30"/>
    <w:rsid w:val="003B2AA7"/>
    <w:rsid w:val="003C5630"/>
    <w:rsid w:val="003D2F17"/>
    <w:rsid w:val="003E3125"/>
    <w:rsid w:val="004014AE"/>
    <w:rsid w:val="00402172"/>
    <w:rsid w:val="00420EEF"/>
    <w:rsid w:val="00421ACF"/>
    <w:rsid w:val="00424C10"/>
    <w:rsid w:val="004346F1"/>
    <w:rsid w:val="00447417"/>
    <w:rsid w:val="00450E89"/>
    <w:rsid w:val="00453469"/>
    <w:rsid w:val="00453E73"/>
    <w:rsid w:val="004655BD"/>
    <w:rsid w:val="00472092"/>
    <w:rsid w:val="004769FD"/>
    <w:rsid w:val="00491894"/>
    <w:rsid w:val="004A015E"/>
    <w:rsid w:val="004A4176"/>
    <w:rsid w:val="004A6CAA"/>
    <w:rsid w:val="004B4BF1"/>
    <w:rsid w:val="004D1BC7"/>
    <w:rsid w:val="004E05BE"/>
    <w:rsid w:val="004F78A6"/>
    <w:rsid w:val="00507C54"/>
    <w:rsid w:val="00513D80"/>
    <w:rsid w:val="00517E6B"/>
    <w:rsid w:val="005264AB"/>
    <w:rsid w:val="005343D2"/>
    <w:rsid w:val="005450DD"/>
    <w:rsid w:val="00554E5A"/>
    <w:rsid w:val="00581D7A"/>
    <w:rsid w:val="0058349B"/>
    <w:rsid w:val="005A64EF"/>
    <w:rsid w:val="005C5B86"/>
    <w:rsid w:val="005C5D29"/>
    <w:rsid w:val="005C67EC"/>
    <w:rsid w:val="005E63A9"/>
    <w:rsid w:val="005F35A0"/>
    <w:rsid w:val="005F6673"/>
    <w:rsid w:val="00601635"/>
    <w:rsid w:val="00604D01"/>
    <w:rsid w:val="00606CAA"/>
    <w:rsid w:val="006224D5"/>
    <w:rsid w:val="00624274"/>
    <w:rsid w:val="00624E4C"/>
    <w:rsid w:val="00632275"/>
    <w:rsid w:val="0064108B"/>
    <w:rsid w:val="0065397C"/>
    <w:rsid w:val="00670572"/>
    <w:rsid w:val="00670D7C"/>
    <w:rsid w:val="00674B60"/>
    <w:rsid w:val="00693403"/>
    <w:rsid w:val="006A527D"/>
    <w:rsid w:val="006B1CD9"/>
    <w:rsid w:val="006F0DF9"/>
    <w:rsid w:val="006F5FE2"/>
    <w:rsid w:val="00700BFA"/>
    <w:rsid w:val="00707ACA"/>
    <w:rsid w:val="00713304"/>
    <w:rsid w:val="00715D23"/>
    <w:rsid w:val="00734274"/>
    <w:rsid w:val="00751052"/>
    <w:rsid w:val="0075698B"/>
    <w:rsid w:val="007713BB"/>
    <w:rsid w:val="0078018F"/>
    <w:rsid w:val="0079159B"/>
    <w:rsid w:val="007A38EB"/>
    <w:rsid w:val="007A5BBA"/>
    <w:rsid w:val="007A67FE"/>
    <w:rsid w:val="007B56E7"/>
    <w:rsid w:val="007B59EF"/>
    <w:rsid w:val="007D5370"/>
    <w:rsid w:val="00812D8B"/>
    <w:rsid w:val="00840D08"/>
    <w:rsid w:val="00847E7B"/>
    <w:rsid w:val="008510F9"/>
    <w:rsid w:val="00865E5B"/>
    <w:rsid w:val="00871CE2"/>
    <w:rsid w:val="00872FA5"/>
    <w:rsid w:val="00877BFC"/>
    <w:rsid w:val="00894A25"/>
    <w:rsid w:val="008D405D"/>
    <w:rsid w:val="008D7926"/>
    <w:rsid w:val="008E2D2D"/>
    <w:rsid w:val="008F74E9"/>
    <w:rsid w:val="00906168"/>
    <w:rsid w:val="00910934"/>
    <w:rsid w:val="009118A6"/>
    <w:rsid w:val="009401CE"/>
    <w:rsid w:val="0095676A"/>
    <w:rsid w:val="00957444"/>
    <w:rsid w:val="00970214"/>
    <w:rsid w:val="009A0149"/>
    <w:rsid w:val="009A5A1E"/>
    <w:rsid w:val="009C1346"/>
    <w:rsid w:val="009C162F"/>
    <w:rsid w:val="009C4082"/>
    <w:rsid w:val="009D236D"/>
    <w:rsid w:val="009D6248"/>
    <w:rsid w:val="009E3FA4"/>
    <w:rsid w:val="009F27F4"/>
    <w:rsid w:val="00A03E3A"/>
    <w:rsid w:val="00A57CA9"/>
    <w:rsid w:val="00A61AE4"/>
    <w:rsid w:val="00A70B1B"/>
    <w:rsid w:val="00A74ED7"/>
    <w:rsid w:val="00A9624A"/>
    <w:rsid w:val="00AA5DAB"/>
    <w:rsid w:val="00AB6203"/>
    <w:rsid w:val="00AD3FAC"/>
    <w:rsid w:val="00AE2ABC"/>
    <w:rsid w:val="00AF7C30"/>
    <w:rsid w:val="00B07CDF"/>
    <w:rsid w:val="00B1163D"/>
    <w:rsid w:val="00B23EE2"/>
    <w:rsid w:val="00B2489B"/>
    <w:rsid w:val="00B30322"/>
    <w:rsid w:val="00B320A1"/>
    <w:rsid w:val="00B5056E"/>
    <w:rsid w:val="00B64324"/>
    <w:rsid w:val="00B74DCC"/>
    <w:rsid w:val="00B77F53"/>
    <w:rsid w:val="00B807F5"/>
    <w:rsid w:val="00B86BDD"/>
    <w:rsid w:val="00BB1F39"/>
    <w:rsid w:val="00C2115A"/>
    <w:rsid w:val="00C33863"/>
    <w:rsid w:val="00C6201F"/>
    <w:rsid w:val="00C810CF"/>
    <w:rsid w:val="00C96D0B"/>
    <w:rsid w:val="00CC3986"/>
    <w:rsid w:val="00CC7DFC"/>
    <w:rsid w:val="00CF2AC4"/>
    <w:rsid w:val="00CF7FE3"/>
    <w:rsid w:val="00D011A2"/>
    <w:rsid w:val="00D01D47"/>
    <w:rsid w:val="00D04F64"/>
    <w:rsid w:val="00D05ECE"/>
    <w:rsid w:val="00D102FD"/>
    <w:rsid w:val="00D1136E"/>
    <w:rsid w:val="00D154C2"/>
    <w:rsid w:val="00D17B35"/>
    <w:rsid w:val="00D26AF7"/>
    <w:rsid w:val="00D32400"/>
    <w:rsid w:val="00D579D7"/>
    <w:rsid w:val="00D77100"/>
    <w:rsid w:val="00D9379C"/>
    <w:rsid w:val="00DC5729"/>
    <w:rsid w:val="00DD56EB"/>
    <w:rsid w:val="00DE338E"/>
    <w:rsid w:val="00E0577E"/>
    <w:rsid w:val="00E0697A"/>
    <w:rsid w:val="00E1782E"/>
    <w:rsid w:val="00E30265"/>
    <w:rsid w:val="00E37C05"/>
    <w:rsid w:val="00E521F3"/>
    <w:rsid w:val="00E63F5E"/>
    <w:rsid w:val="00E83DE9"/>
    <w:rsid w:val="00E91BF4"/>
    <w:rsid w:val="00E970B8"/>
    <w:rsid w:val="00EA07E6"/>
    <w:rsid w:val="00EA4EAF"/>
    <w:rsid w:val="00EA4EC1"/>
    <w:rsid w:val="00EB27A2"/>
    <w:rsid w:val="00EB6EE7"/>
    <w:rsid w:val="00EC5082"/>
    <w:rsid w:val="00ED7E6B"/>
    <w:rsid w:val="00EF3B63"/>
    <w:rsid w:val="00F00A84"/>
    <w:rsid w:val="00F01FD8"/>
    <w:rsid w:val="00F10F4C"/>
    <w:rsid w:val="00F15035"/>
    <w:rsid w:val="00F24085"/>
    <w:rsid w:val="00F45878"/>
    <w:rsid w:val="00F46A97"/>
    <w:rsid w:val="00F503CC"/>
    <w:rsid w:val="00F65BF6"/>
    <w:rsid w:val="00F65CB6"/>
    <w:rsid w:val="00F74E8C"/>
    <w:rsid w:val="00F777A9"/>
    <w:rsid w:val="00F80DC0"/>
    <w:rsid w:val="00FA5187"/>
    <w:rsid w:val="00FB7FB2"/>
    <w:rsid w:val="00FC1177"/>
    <w:rsid w:val="00FC37C8"/>
    <w:rsid w:val="00FD4177"/>
    <w:rsid w:val="00FD69AB"/>
    <w:rsid w:val="00FE1A92"/>
    <w:rsid w:val="00FF04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DF1D"/>
  <w15:docId w15:val="{95D336F0-FBF4-4691-B68D-AAC67DA0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8B"/>
    <w:pPr>
      <w:autoSpaceDE w:val="0"/>
      <w:autoSpaceDN w:val="0"/>
      <w:spacing w:after="0" w:line="480" w:lineRule="atLeast"/>
      <w:ind w:firstLine="108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812D8B"/>
    <w:pPr>
      <w:keepNext/>
      <w:spacing w:before="240"/>
      <w:ind w:firstLine="0"/>
      <w:jc w:val="center"/>
      <w:outlineLvl w:val="0"/>
    </w:pPr>
    <w:rPr>
      <w:b/>
      <w:kern w:val="32"/>
    </w:rPr>
  </w:style>
  <w:style w:type="paragraph" w:styleId="Heading2">
    <w:name w:val="heading 2"/>
    <w:basedOn w:val="Normal"/>
    <w:next w:val="Normal"/>
    <w:link w:val="Heading2Char"/>
    <w:qFormat/>
    <w:rsid w:val="00812D8B"/>
    <w:pPr>
      <w:keepNext/>
      <w:spacing w:before="240"/>
      <w:ind w:firstLine="0"/>
      <w:jc w:val="center"/>
      <w:outlineLvl w:val="1"/>
    </w:pPr>
    <w:rPr>
      <w:i/>
    </w:rPr>
  </w:style>
  <w:style w:type="paragraph" w:styleId="Heading3">
    <w:name w:val="heading 3"/>
    <w:basedOn w:val="Normal"/>
    <w:next w:val="Normal"/>
    <w:link w:val="Heading3Char"/>
    <w:qFormat/>
    <w:rsid w:val="00812D8B"/>
    <w:pPr>
      <w:keepNext/>
      <w:spacing w:before="240"/>
      <w:ind w:firstLine="0"/>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customStyle="1" w:styleId="Heading1Char">
    <w:name w:val="Heading 1 Char"/>
    <w:basedOn w:val="DefaultParagraphFont"/>
    <w:link w:val="Heading1"/>
    <w:rsid w:val="00812D8B"/>
    <w:rPr>
      <w:rFonts w:ascii="Times New Roman" w:eastAsia="Times New Roman" w:hAnsi="Times New Roman" w:cs="Times New Roman"/>
      <w:b/>
      <w:kern w:val="32"/>
      <w:sz w:val="24"/>
      <w:szCs w:val="24"/>
      <w:lang w:bidi="ar-SA"/>
    </w:rPr>
  </w:style>
  <w:style w:type="character" w:customStyle="1" w:styleId="Heading2Char">
    <w:name w:val="Heading 2 Char"/>
    <w:basedOn w:val="DefaultParagraphFont"/>
    <w:link w:val="Heading2"/>
    <w:rsid w:val="00812D8B"/>
    <w:rPr>
      <w:rFonts w:ascii="Times New Roman" w:eastAsia="Times New Roman" w:hAnsi="Times New Roman" w:cs="Times New Roman"/>
      <w:i/>
      <w:sz w:val="24"/>
      <w:szCs w:val="24"/>
      <w:lang w:bidi="ar-SA"/>
    </w:rPr>
  </w:style>
  <w:style w:type="character" w:customStyle="1" w:styleId="Heading3Char">
    <w:name w:val="Heading 3 Char"/>
    <w:basedOn w:val="DefaultParagraphFont"/>
    <w:link w:val="Heading3"/>
    <w:rsid w:val="00812D8B"/>
    <w:rPr>
      <w:rFonts w:ascii="Times New Roman" w:eastAsia="Times New Roman" w:hAnsi="Times New Roman" w:cs="Times New Roman"/>
      <w:b/>
      <w:sz w:val="24"/>
      <w:szCs w:val="24"/>
      <w:lang w:bidi="ar-SA"/>
    </w:rPr>
  </w:style>
  <w:style w:type="character" w:styleId="FootnoteReference">
    <w:name w:val="footnote reference"/>
    <w:basedOn w:val="DefaultParagraphFont"/>
    <w:rsid w:val="00812D8B"/>
    <w:rPr>
      <w:sz w:val="18"/>
      <w:szCs w:val="18"/>
      <w:vertAlign w:val="superscript"/>
    </w:rPr>
  </w:style>
  <w:style w:type="character" w:styleId="PageNumber">
    <w:name w:val="page number"/>
    <w:basedOn w:val="DefaultParagraphFont"/>
    <w:rsid w:val="00812D8B"/>
    <w:rPr>
      <w:rFonts w:ascii="Times New Roman" w:hAnsi="Times New Roman" w:cs="Times New Roman"/>
      <w:sz w:val="24"/>
      <w:szCs w:val="24"/>
    </w:rPr>
  </w:style>
  <w:style w:type="paragraph" w:styleId="Footer">
    <w:name w:val="footer"/>
    <w:basedOn w:val="Normal"/>
    <w:link w:val="FooterChar"/>
    <w:uiPriority w:val="99"/>
    <w:rsid w:val="00812D8B"/>
    <w:pPr>
      <w:spacing w:line="240" w:lineRule="atLeast"/>
      <w:ind w:firstLine="0"/>
      <w:jc w:val="center"/>
    </w:pPr>
  </w:style>
  <w:style w:type="character" w:customStyle="1" w:styleId="FooterChar">
    <w:name w:val="Footer Char"/>
    <w:basedOn w:val="DefaultParagraphFont"/>
    <w:link w:val="Footer"/>
    <w:uiPriority w:val="99"/>
    <w:rsid w:val="00812D8B"/>
    <w:rPr>
      <w:rFonts w:ascii="Times New Roman" w:eastAsia="Times New Roman" w:hAnsi="Times New Roman" w:cs="Times New Roman"/>
      <w:sz w:val="24"/>
      <w:szCs w:val="24"/>
      <w:lang w:bidi="ar-SA"/>
    </w:rPr>
  </w:style>
  <w:style w:type="paragraph" w:styleId="Header">
    <w:name w:val="header"/>
    <w:basedOn w:val="Normal"/>
    <w:link w:val="HeaderChar"/>
    <w:rsid w:val="00812D8B"/>
    <w:pPr>
      <w:tabs>
        <w:tab w:val="center" w:pos="4320"/>
        <w:tab w:val="right" w:pos="8640"/>
      </w:tabs>
      <w:spacing w:line="240" w:lineRule="atLeast"/>
      <w:ind w:firstLine="0"/>
      <w:jc w:val="right"/>
    </w:pPr>
  </w:style>
  <w:style w:type="character" w:customStyle="1" w:styleId="HeaderChar">
    <w:name w:val="Header Char"/>
    <w:basedOn w:val="DefaultParagraphFont"/>
    <w:link w:val="Header"/>
    <w:rsid w:val="00812D8B"/>
    <w:rPr>
      <w:rFonts w:ascii="Times New Roman" w:eastAsia="Times New Roman" w:hAnsi="Times New Roman" w:cs="Times New Roman"/>
      <w:sz w:val="24"/>
      <w:szCs w:val="24"/>
      <w:lang w:bidi="ar-SA"/>
    </w:rPr>
  </w:style>
  <w:style w:type="paragraph" w:styleId="FootnoteText">
    <w:name w:val="footnote text"/>
    <w:basedOn w:val="Normal"/>
    <w:link w:val="FootnoteTextChar"/>
    <w:autoRedefine/>
    <w:rsid w:val="00812D8B"/>
    <w:pPr>
      <w:spacing w:before="200" w:line="200" w:lineRule="atLeast"/>
    </w:pPr>
    <w:rPr>
      <w:sz w:val="20"/>
    </w:rPr>
  </w:style>
  <w:style w:type="character" w:customStyle="1" w:styleId="FootnoteTextChar">
    <w:name w:val="Footnote Text Char"/>
    <w:basedOn w:val="DefaultParagraphFont"/>
    <w:link w:val="FootnoteText"/>
    <w:rsid w:val="00812D8B"/>
    <w:rPr>
      <w:rFonts w:ascii="Times New Roman" w:eastAsia="Times New Roman" w:hAnsi="Times New Roman" w:cs="Times New Roman"/>
      <w:sz w:val="20"/>
      <w:szCs w:val="24"/>
      <w:lang w:bidi="ar-SA"/>
    </w:rPr>
  </w:style>
  <w:style w:type="paragraph" w:customStyle="1" w:styleId="Chapter">
    <w:name w:val="Chapter"/>
    <w:basedOn w:val="Normal"/>
    <w:next w:val="Normal"/>
    <w:rsid w:val="00812D8B"/>
    <w:pPr>
      <w:ind w:firstLine="0"/>
      <w:jc w:val="center"/>
    </w:pPr>
    <w:rPr>
      <w:caps/>
    </w:rPr>
  </w:style>
  <w:style w:type="paragraph" w:customStyle="1" w:styleId="BibliographyEntry">
    <w:name w:val="Bibliography Entry"/>
    <w:basedOn w:val="Normal"/>
    <w:rsid w:val="00812D8B"/>
    <w:pPr>
      <w:keepLines/>
      <w:spacing w:before="240" w:line="240" w:lineRule="atLeast"/>
      <w:ind w:left="1800" w:hanging="720"/>
    </w:pPr>
  </w:style>
  <w:style w:type="paragraph" w:customStyle="1" w:styleId="BlockQuotationIndent">
    <w:name w:val="Block Quotation Indent"/>
    <w:basedOn w:val="Normal"/>
    <w:next w:val="Normal"/>
    <w:rsid w:val="00812D8B"/>
    <w:pPr>
      <w:spacing w:before="240" w:line="240" w:lineRule="atLeast"/>
      <w:ind w:left="720" w:firstLine="360"/>
    </w:pPr>
  </w:style>
  <w:style w:type="character" w:styleId="Hyperlink">
    <w:name w:val="Hyperlink"/>
    <w:basedOn w:val="DefaultParagraphFont"/>
    <w:uiPriority w:val="99"/>
    <w:unhideWhenUsed/>
    <w:rsid w:val="00812D8B"/>
    <w:rPr>
      <w:color w:val="0000FF" w:themeColor="hyperlink"/>
      <w:u w:val="single"/>
    </w:rPr>
  </w:style>
  <w:style w:type="paragraph" w:styleId="BalloonText">
    <w:name w:val="Balloon Text"/>
    <w:basedOn w:val="Normal"/>
    <w:link w:val="BalloonTextChar"/>
    <w:uiPriority w:val="99"/>
    <w:semiHidden/>
    <w:unhideWhenUsed/>
    <w:rsid w:val="002B2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2B"/>
    <w:rPr>
      <w:rFonts w:ascii="Tahoma" w:eastAsia="Times New Roman" w:hAnsi="Tahoma" w:cs="Tahoma"/>
      <w:sz w:val="16"/>
      <w:szCs w:val="16"/>
      <w:lang w:bidi="ar-SA"/>
    </w:rPr>
  </w:style>
  <w:style w:type="paragraph" w:styleId="NormalWeb">
    <w:name w:val="Normal (Web)"/>
    <w:basedOn w:val="Normal"/>
    <w:uiPriority w:val="99"/>
    <w:semiHidden/>
    <w:unhideWhenUsed/>
    <w:rsid w:val="00C96D0B"/>
    <w:pPr>
      <w:autoSpaceDE/>
      <w:autoSpaceDN/>
      <w:spacing w:before="100" w:beforeAutospacing="1" w:after="100" w:afterAutospacing="1" w:line="240" w:lineRule="auto"/>
      <w:ind w:firstLine="0"/>
    </w:pPr>
    <w:rPr>
      <w:lang w:bidi="he-IL"/>
    </w:rPr>
  </w:style>
  <w:style w:type="character" w:styleId="UnresolvedMention">
    <w:name w:val="Unresolved Mention"/>
    <w:basedOn w:val="DefaultParagraphFont"/>
    <w:uiPriority w:val="99"/>
    <w:semiHidden/>
    <w:unhideWhenUsed/>
    <w:rsid w:val="004F78A6"/>
    <w:rPr>
      <w:color w:val="808080"/>
      <w:shd w:val="clear" w:color="auto" w:fill="E6E6E6"/>
    </w:rPr>
  </w:style>
  <w:style w:type="paragraph" w:styleId="ListParagraph">
    <w:name w:val="List Paragraph"/>
    <w:basedOn w:val="Normal"/>
    <w:uiPriority w:val="72"/>
    <w:qFormat/>
    <w:rsid w:val="00453469"/>
    <w:pPr>
      <w:autoSpaceDE/>
      <w:autoSpaceDN/>
      <w:spacing w:line="240" w:lineRule="auto"/>
      <w:ind w:left="720" w:firstLine="0"/>
      <w:contextualSpacing/>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5588">
      <w:bodyDiv w:val="1"/>
      <w:marLeft w:val="0"/>
      <w:marRight w:val="0"/>
      <w:marTop w:val="0"/>
      <w:marBottom w:val="0"/>
      <w:divBdr>
        <w:top w:val="none" w:sz="0" w:space="0" w:color="auto"/>
        <w:left w:val="none" w:sz="0" w:space="0" w:color="auto"/>
        <w:bottom w:val="none" w:sz="0" w:space="0" w:color="auto"/>
        <w:right w:val="none" w:sz="0" w:space="0" w:color="auto"/>
      </w:divBdr>
    </w:div>
    <w:div w:id="315495329">
      <w:bodyDiv w:val="1"/>
      <w:marLeft w:val="0"/>
      <w:marRight w:val="0"/>
      <w:marTop w:val="0"/>
      <w:marBottom w:val="0"/>
      <w:divBdr>
        <w:top w:val="none" w:sz="0" w:space="0" w:color="auto"/>
        <w:left w:val="none" w:sz="0" w:space="0" w:color="auto"/>
        <w:bottom w:val="none" w:sz="0" w:space="0" w:color="auto"/>
        <w:right w:val="none" w:sz="0" w:space="0" w:color="auto"/>
      </w:divBdr>
    </w:div>
    <w:div w:id="787629999">
      <w:bodyDiv w:val="1"/>
      <w:marLeft w:val="0"/>
      <w:marRight w:val="0"/>
      <w:marTop w:val="0"/>
      <w:marBottom w:val="0"/>
      <w:divBdr>
        <w:top w:val="none" w:sz="0" w:space="0" w:color="auto"/>
        <w:left w:val="none" w:sz="0" w:space="0" w:color="auto"/>
        <w:bottom w:val="none" w:sz="0" w:space="0" w:color="auto"/>
        <w:right w:val="none" w:sz="0" w:space="0" w:color="auto"/>
      </w:divBdr>
    </w:div>
    <w:div w:id="827786487">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99646398">
      <w:bodyDiv w:val="1"/>
      <w:marLeft w:val="0"/>
      <w:marRight w:val="0"/>
      <w:marTop w:val="0"/>
      <w:marBottom w:val="0"/>
      <w:divBdr>
        <w:top w:val="none" w:sz="0" w:space="0" w:color="auto"/>
        <w:left w:val="none" w:sz="0" w:space="0" w:color="auto"/>
        <w:bottom w:val="none" w:sz="0" w:space="0" w:color="auto"/>
        <w:right w:val="none" w:sz="0" w:space="0" w:color="auto"/>
      </w:divBdr>
    </w:div>
    <w:div w:id="1547447615">
      <w:bodyDiv w:val="1"/>
      <w:marLeft w:val="0"/>
      <w:marRight w:val="0"/>
      <w:marTop w:val="0"/>
      <w:marBottom w:val="0"/>
      <w:divBdr>
        <w:top w:val="none" w:sz="0" w:space="0" w:color="auto"/>
        <w:left w:val="none" w:sz="0" w:space="0" w:color="auto"/>
        <w:bottom w:val="none" w:sz="0" w:space="0" w:color="auto"/>
        <w:right w:val="none" w:sz="0" w:space="0" w:color="auto"/>
      </w:divBdr>
    </w:div>
    <w:div w:id="1675722607">
      <w:bodyDiv w:val="1"/>
      <w:marLeft w:val="0"/>
      <w:marRight w:val="0"/>
      <w:marTop w:val="0"/>
      <w:marBottom w:val="0"/>
      <w:divBdr>
        <w:top w:val="none" w:sz="0" w:space="0" w:color="auto"/>
        <w:left w:val="none" w:sz="0" w:space="0" w:color="auto"/>
        <w:bottom w:val="none" w:sz="0" w:space="0" w:color="auto"/>
        <w:right w:val="none" w:sz="0" w:space="0" w:color="auto"/>
      </w:divBdr>
    </w:div>
    <w:div w:id="2128617195">
      <w:bodyDiv w:val="1"/>
      <w:marLeft w:val="0"/>
      <w:marRight w:val="0"/>
      <w:marTop w:val="0"/>
      <w:marBottom w:val="0"/>
      <w:divBdr>
        <w:top w:val="none" w:sz="0" w:space="0" w:color="auto"/>
        <w:left w:val="none" w:sz="0" w:space="0" w:color="auto"/>
        <w:bottom w:val="none" w:sz="0" w:space="0" w:color="auto"/>
        <w:right w:val="none" w:sz="0" w:space="0" w:color="auto"/>
      </w:divBdr>
      <w:divsChild>
        <w:div w:id="944270654">
          <w:marLeft w:val="288"/>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DB05F-D2E3-4FB6-A690-39BCA059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 Graieg</cp:lastModifiedBy>
  <cp:revision>81</cp:revision>
  <dcterms:created xsi:type="dcterms:W3CDTF">2012-03-04T03:25:00Z</dcterms:created>
  <dcterms:modified xsi:type="dcterms:W3CDTF">2021-04-08T04:14:00Z</dcterms:modified>
</cp:coreProperties>
</file>