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52" w:rsidRPr="00071B57" w:rsidRDefault="00071B57">
      <w:pPr>
        <w:rPr>
          <w:sz w:val="40"/>
          <w:szCs w:val="40"/>
        </w:rPr>
      </w:pPr>
      <w:r w:rsidRPr="00071B57">
        <w:rPr>
          <w:sz w:val="40"/>
          <w:szCs w:val="40"/>
        </w:rPr>
        <w:t>Welcome to HT353</w:t>
      </w:r>
    </w:p>
    <w:p w:rsidR="00071B57" w:rsidRDefault="00071B57"/>
    <w:p w:rsidR="00071B57" w:rsidRDefault="00071B57" w:rsidP="00071B57">
      <w:pPr>
        <w:autoSpaceDE w:val="0"/>
        <w:autoSpaceDN w:val="0"/>
        <w:adjustRightInd w:val="0"/>
        <w:rPr>
          <w:rFonts w:ascii="PT Sans" w:hAnsi="PT Sans" w:cs="Franklin Gothic Book"/>
          <w:color w:val="000000"/>
        </w:rPr>
      </w:pPr>
      <w:r w:rsidRPr="00883A47">
        <w:rPr>
          <w:rFonts w:ascii="PT Sans" w:hAnsi="PT Sans" w:cs="Franklin Gothic Book"/>
          <w:color w:val="000000"/>
        </w:rPr>
        <w:t xml:space="preserve">This unit provides a brief overview of the history of Judaism, from the pre-Mosaic period to Modern Judaism. It examines what is often considered normative Judaism, founded upon the </w:t>
      </w:r>
      <w:proofErr w:type="spellStart"/>
      <w:r w:rsidRPr="00883A47">
        <w:rPr>
          <w:rFonts w:ascii="PT Sans" w:hAnsi="PT Sans" w:cs="Franklin Gothic Book"/>
          <w:color w:val="000000"/>
        </w:rPr>
        <w:t>Tenach</w:t>
      </w:r>
      <w:proofErr w:type="spellEnd"/>
      <w:r w:rsidRPr="00883A47">
        <w:rPr>
          <w:rFonts w:ascii="PT Sans" w:hAnsi="PT Sans" w:cs="Franklin Gothic Book"/>
          <w:color w:val="000000"/>
        </w:rPr>
        <w:t xml:space="preserve"> (also called the </w:t>
      </w:r>
      <w:proofErr w:type="spellStart"/>
      <w:r w:rsidRPr="00883A47">
        <w:rPr>
          <w:rFonts w:ascii="PT Sans" w:hAnsi="PT Sans" w:cs="Franklin Gothic Book"/>
          <w:color w:val="000000"/>
        </w:rPr>
        <w:t>Tanakh</w:t>
      </w:r>
      <w:proofErr w:type="spellEnd"/>
      <w:r w:rsidRPr="00883A47">
        <w:rPr>
          <w:rFonts w:ascii="PT Sans" w:hAnsi="PT Sans" w:cs="Franklin Gothic Book"/>
          <w:color w:val="000000"/>
        </w:rPr>
        <w:t>, or Old Testament in the Christian tradition), as well as later developments u</w:t>
      </w:r>
      <w:bookmarkStart w:id="0" w:name="_GoBack"/>
      <w:bookmarkEnd w:id="0"/>
      <w:r w:rsidRPr="00883A47">
        <w:rPr>
          <w:rFonts w:ascii="PT Sans" w:hAnsi="PT Sans" w:cs="Franklin Gothic Book"/>
          <w:color w:val="000000"/>
        </w:rPr>
        <w:t>nder Hellenic, Roman, Babylonian, Arabic, Medieval European, and Modern influences. This unit outlines the ways in which Judaism has been adapted to a wide variety of socio, cultural, political, economic</w:t>
      </w:r>
      <w:r>
        <w:rPr>
          <w:rFonts w:ascii="PT Sans" w:hAnsi="PT Sans" w:cs="Franklin Gothic Book"/>
          <w:color w:val="000000"/>
        </w:rPr>
        <w:t>,</w:t>
      </w:r>
      <w:r w:rsidRPr="00883A47">
        <w:rPr>
          <w:rFonts w:ascii="PT Sans" w:hAnsi="PT Sans" w:cs="Franklin Gothic Book"/>
          <w:color w:val="000000"/>
        </w:rPr>
        <w:t xml:space="preserve"> and religious influences and has undergone reform accordingly, while often maintaining essential core elements to provide meaning and continuation for Jews both in the Palestinian and </w:t>
      </w:r>
      <w:proofErr w:type="spellStart"/>
      <w:r w:rsidRPr="00883A47">
        <w:rPr>
          <w:rFonts w:ascii="PT Sans" w:hAnsi="PT Sans" w:cs="Franklin Gothic Book"/>
          <w:color w:val="000000"/>
        </w:rPr>
        <w:t>Diasporic</w:t>
      </w:r>
      <w:proofErr w:type="spellEnd"/>
      <w:r w:rsidRPr="00883A47">
        <w:rPr>
          <w:rFonts w:ascii="PT Sans" w:hAnsi="PT Sans" w:cs="Franklin Gothic Book"/>
          <w:color w:val="000000"/>
        </w:rPr>
        <w:t xml:space="preserve"> contexts. The history of Judaism is in many ways a reflection of the nomadic path Jews have been forced to tread wherever they have settled. As this unit will examine – from the Exodus in Egypt to exile in Babylon; from the expulsion of Jews under Roman occupation to expulsions from Spain in the 1480s; and from pogroms continuing up to the modern period to the catastrophe of the Holocaust – Jews have constantly resettled, only to be forced on to somewhere else. At the same time, they have maintained their distinct cultural and religious identity. Their adaptability to adapt has, in part, assured their survival and the retention of this identity. </w:t>
      </w:r>
    </w:p>
    <w:p w:rsidR="00071B57" w:rsidRPr="00883A47" w:rsidRDefault="00071B57" w:rsidP="00071B57">
      <w:pPr>
        <w:autoSpaceDE w:val="0"/>
        <w:autoSpaceDN w:val="0"/>
        <w:adjustRightInd w:val="0"/>
        <w:rPr>
          <w:rFonts w:ascii="PT Sans" w:hAnsi="PT Sans" w:cs="Franklin Gothic Book"/>
          <w:color w:val="000000"/>
        </w:rPr>
      </w:pPr>
    </w:p>
    <w:p w:rsidR="00071B57" w:rsidRPr="00883A47" w:rsidRDefault="00071B57" w:rsidP="00071B57">
      <w:pPr>
        <w:autoSpaceDE w:val="0"/>
        <w:autoSpaceDN w:val="0"/>
        <w:adjustRightInd w:val="0"/>
        <w:rPr>
          <w:rFonts w:ascii="PT Sans" w:hAnsi="PT Sans" w:cs="Franklin Gothic Book"/>
          <w:color w:val="000000"/>
        </w:rPr>
      </w:pPr>
      <w:r w:rsidRPr="00883A47">
        <w:rPr>
          <w:rFonts w:ascii="PT Sans" w:hAnsi="PT Sans" w:cs="Franklin Gothic Book"/>
          <w:color w:val="000000"/>
        </w:rPr>
        <w:t xml:space="preserve">From a Judaic and variously Christian religious perspective, the story of the Jews and their faith is testament to God’s divine plan to redeem his people, despite the many trials they have endured. We see in the </w:t>
      </w:r>
      <w:proofErr w:type="spellStart"/>
      <w:r w:rsidRPr="00883A47">
        <w:rPr>
          <w:rFonts w:ascii="PT Sans" w:hAnsi="PT Sans" w:cs="Franklin Gothic Book"/>
          <w:color w:val="000000"/>
        </w:rPr>
        <w:t>Tenach</w:t>
      </w:r>
      <w:proofErr w:type="spellEnd"/>
      <w:r w:rsidRPr="00883A47">
        <w:rPr>
          <w:rFonts w:ascii="PT Sans" w:hAnsi="PT Sans" w:cs="Franklin Gothic Book"/>
          <w:color w:val="000000"/>
        </w:rPr>
        <w:t xml:space="preserve"> a manifestation of God through the written word, detailing His creation of the world; choosing Abraham as the first patriarch of Judaism and the father of all Jews; His protection and guidance for Israel during the Exodus from Egypt; His guidance under the prophets and a divinely-appointed monarchy; His comfort concerning an end to exile in Babylon and restoration of the Temple; and His continual promises of future deliverance and lasting peace through the prophets. The hope which this message of divine appointment has evoked in Jews all over the world has given them strength and endurance in the face of persecution throughout history. </w:t>
      </w:r>
    </w:p>
    <w:p w:rsidR="00071B57" w:rsidRPr="00883A47" w:rsidRDefault="00071B57" w:rsidP="00071B57">
      <w:pPr>
        <w:pStyle w:val="Heading2"/>
        <w:spacing w:line="240" w:lineRule="auto"/>
        <w:rPr>
          <w:rFonts w:ascii="PT Sans" w:eastAsiaTheme="minorEastAsia" w:hAnsi="PT Sans" w:cs="Franklin Gothic Book"/>
          <w:b w:val="0"/>
          <w:bCs w:val="0"/>
          <w:color w:val="000000"/>
          <w:sz w:val="23"/>
          <w:szCs w:val="23"/>
        </w:rPr>
      </w:pPr>
      <w:r w:rsidRPr="00883A47">
        <w:rPr>
          <w:rFonts w:ascii="PT Sans" w:eastAsiaTheme="minorEastAsia" w:hAnsi="PT Sans" w:cs="Franklin Gothic Book"/>
          <w:b w:val="0"/>
          <w:bCs w:val="0"/>
          <w:color w:val="000000"/>
          <w:sz w:val="22"/>
          <w:szCs w:val="22"/>
        </w:rPr>
        <w:t>This interpretation, however, has been called into question by Jewish and Gentile sceptics alike, since at least the 16</w:t>
      </w:r>
      <w:r w:rsidRPr="00883A47">
        <w:rPr>
          <w:rFonts w:ascii="PT Sans" w:eastAsiaTheme="minorEastAsia" w:hAnsi="PT Sans" w:cs="Franklin Gothic Book"/>
          <w:b w:val="0"/>
          <w:bCs w:val="0"/>
          <w:color w:val="000000"/>
          <w:sz w:val="14"/>
          <w:szCs w:val="14"/>
        </w:rPr>
        <w:t xml:space="preserve">th </w:t>
      </w:r>
      <w:r w:rsidRPr="00883A47">
        <w:rPr>
          <w:rFonts w:ascii="PT Sans" w:eastAsiaTheme="minorEastAsia" w:hAnsi="PT Sans" w:cs="Franklin Gothic Book"/>
          <w:b w:val="0"/>
          <w:bCs w:val="0"/>
          <w:color w:val="000000"/>
          <w:sz w:val="22"/>
          <w:szCs w:val="22"/>
        </w:rPr>
        <w:t>century AD, and particularly with developments in Judaism in post-Enlightenment Europe. Some sceptics, have, for example, seen the hardships faced by Jews throughout history as socio-political in nature, rather than precedents of messianic salvation. Likewise, there are Jews who have, even before the modern period, rejected the Biblical account of events concerning the history of the world and the people of Israel. This unit will therefore take into account both religious Jewish perspectives concerning the history of Judaism and the various lines of thinking along which these perspectives have developed and somewhat conflicting secular accounts which have largely developed since the modern period</w:t>
      </w:r>
      <w:r w:rsidRPr="00883A47">
        <w:rPr>
          <w:rFonts w:ascii="PT Sans" w:eastAsiaTheme="minorEastAsia" w:hAnsi="PT Sans" w:cs="Franklin Gothic Book"/>
          <w:b w:val="0"/>
          <w:bCs w:val="0"/>
          <w:color w:val="000000"/>
          <w:sz w:val="23"/>
          <w:szCs w:val="23"/>
        </w:rPr>
        <w:t>.</w:t>
      </w:r>
    </w:p>
    <w:p w:rsidR="00071B57" w:rsidRDefault="00071B57"/>
    <w:sectPr w:rsidR="00071B57" w:rsidSect="00947E2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ans">
    <w:altName w:val="Corbel"/>
    <w:panose1 w:val="020B0503020203020204"/>
    <w:charset w:val="00"/>
    <w:family w:val="swiss"/>
    <w:pitch w:val="variable"/>
    <w:sig w:usb0="A00002EF" w:usb1="5000204B" w:usb2="00000000" w:usb3="00000000" w:csb0="00000097" w:csb1="00000000"/>
  </w:font>
  <w:font w:name="Franklin Gothic Book">
    <w:altName w:val="Vodafone ExB"/>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57"/>
    <w:rsid w:val="00071B57"/>
    <w:rsid w:val="005F3689"/>
    <w:rsid w:val="00853B52"/>
    <w:rsid w:val="008D3284"/>
    <w:rsid w:val="00947E2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300B03-7B04-42E8-8738-3D30AFB6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284"/>
    <w:rPr>
      <w:sz w:val="24"/>
      <w:szCs w:val="24"/>
    </w:rPr>
  </w:style>
  <w:style w:type="paragraph" w:styleId="Heading2">
    <w:name w:val="heading 2"/>
    <w:basedOn w:val="Normal"/>
    <w:next w:val="Normal"/>
    <w:link w:val="Heading2Char"/>
    <w:uiPriority w:val="9"/>
    <w:unhideWhenUsed/>
    <w:qFormat/>
    <w:rsid w:val="00071B57"/>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B57"/>
    <w:rPr>
      <w:rFonts w:asciiTheme="majorHAnsi" w:eastAsiaTheme="majorEastAsia" w:hAnsiTheme="majorHAnsi" w:cstheme="majorBidi"/>
      <w:b/>
      <w:bCs/>
      <w:color w:val="5B9BD5"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979D-DB50-4917-B41B-17C3C7EC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2021-09-02T06:48:00Z</dcterms:created>
  <dcterms:modified xsi:type="dcterms:W3CDTF">2021-09-02T06:50:00Z</dcterms:modified>
</cp:coreProperties>
</file>